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Feltet anvendes til at tilkendegive, om en Skatmedarbejder, har tilladelse til at få dispensation fra funktionsadskillelse.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18-09-2023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