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B1835" w:rsidTr="000B1835">
        <w:tblPrEx>
          <w:tblCellMar>
            <w:top w:w="0" w:type="dxa"/>
            <w:bottom w:w="0" w:type="dxa"/>
          </w:tblCellMar>
        </w:tblPrEx>
        <w:trPr>
          <w:trHeight w:hRule="exact" w:val="113"/>
        </w:trPr>
        <w:tc>
          <w:tcPr>
            <w:tcW w:w="10205" w:type="dxa"/>
            <w:gridSpan w:val="6"/>
            <w:shd w:val="clear" w:color="auto" w:fill="82A0F0"/>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rPr>
          <w:trHeight w:val="283"/>
        </w:trPr>
        <w:tc>
          <w:tcPr>
            <w:tcW w:w="10205" w:type="dxa"/>
            <w:gridSpan w:val="6"/>
            <w:tcBorders>
              <w:bottom w:val="single" w:sz="6" w:space="0" w:color="auto"/>
            </w:tcBorders>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B1835">
              <w:rPr>
                <w:rFonts w:ascii="Arial" w:hAnsi="Arial" w:cs="Arial"/>
                <w:b/>
                <w:sz w:val="30"/>
              </w:rPr>
              <w:t>IMMultiHændelseModtag</w:t>
            </w:r>
          </w:p>
        </w:tc>
      </w:tr>
      <w:tr w:rsidR="000B1835" w:rsidTr="000B183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B1835" w:rsidTr="000B1835">
        <w:tblPrEx>
          <w:tblCellMar>
            <w:top w:w="0" w:type="dxa"/>
            <w:bottom w:w="0" w:type="dxa"/>
          </w:tblCellMar>
        </w:tblPrEx>
        <w:trPr>
          <w:gridAfter w:val="1"/>
          <w:trHeight w:val="283"/>
        </w:trPr>
        <w:tc>
          <w:tcPr>
            <w:tcW w:w="1701" w:type="dxa"/>
            <w:tcBorders>
              <w:top w:val="nil"/>
            </w:tcBorders>
            <w:shd w:val="clear" w:color="auto" w:fill="auto"/>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w:t>
            </w:r>
          </w:p>
        </w:tc>
        <w:tc>
          <w:tcPr>
            <w:tcW w:w="1699" w:type="dxa"/>
            <w:tcBorders>
              <w:top w:val="nil"/>
            </w:tcBorders>
            <w:shd w:val="clear" w:color="auto" w:fill="auto"/>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2011-03-07</w:t>
            </w:r>
          </w:p>
        </w:tc>
        <w:tc>
          <w:tcPr>
            <w:tcW w:w="1699" w:type="dxa"/>
            <w:tcBorders>
              <w:top w:val="nil"/>
            </w:tcBorders>
            <w:shd w:val="clear" w:color="auto" w:fill="auto"/>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0B1835" w:rsidTr="000B1835">
        <w:tblPrEx>
          <w:tblCellMar>
            <w:top w:w="0" w:type="dxa"/>
            <w:bottom w:w="0" w:type="dxa"/>
          </w:tblCellMar>
        </w:tblPrEx>
        <w:trPr>
          <w:trHeight w:val="283"/>
        </w:trPr>
        <w:tc>
          <w:tcPr>
            <w:tcW w:w="10205" w:type="dxa"/>
            <w:gridSpan w:val="6"/>
            <w:shd w:val="clear" w:color="auto" w:fill="D2DCF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B1835" w:rsidTr="000B1835">
        <w:tblPrEx>
          <w:tblCellMar>
            <w:top w:w="0" w:type="dxa"/>
            <w:bottom w:w="0" w:type="dxa"/>
          </w:tblCellMar>
        </w:tblPrEx>
        <w:trPr>
          <w:trHeight w:val="283"/>
        </w:trPr>
        <w:tc>
          <w:tcPr>
            <w:tcW w:w="10205" w:type="dxa"/>
            <w:gridSpan w:val="6"/>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sende flere hændelser til IM via et servicekald, og derved eliminere det overhead der ville være ved flere kald til servicen IMHændelseModtag.</w:t>
            </w:r>
          </w:p>
        </w:tc>
      </w:tr>
      <w:tr w:rsidR="000B1835" w:rsidTr="000B1835">
        <w:tblPrEx>
          <w:tblCellMar>
            <w:top w:w="0" w:type="dxa"/>
            <w:bottom w:w="0" w:type="dxa"/>
          </w:tblCellMar>
        </w:tblPrEx>
        <w:trPr>
          <w:trHeight w:val="283"/>
        </w:trPr>
        <w:tc>
          <w:tcPr>
            <w:tcW w:w="10205" w:type="dxa"/>
            <w:gridSpan w:val="6"/>
            <w:shd w:val="clear" w:color="auto" w:fill="D2DCF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B1835" w:rsidTr="000B1835">
        <w:tblPrEx>
          <w:tblCellMar>
            <w:top w:w="0" w:type="dxa"/>
            <w:bottom w:w="0" w:type="dxa"/>
          </w:tblCellMar>
        </w:tblPrEx>
        <w:trPr>
          <w:trHeight w:val="283"/>
        </w:trPr>
        <w:tc>
          <w:tcPr>
            <w:tcW w:w="10205" w:type="dxa"/>
            <w:gridSpan w:val="6"/>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alle de hændelser som requesten måtte indeholde, forudsat at alle hændelserne er fejlfrie.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Kalderen skal tildele alle hændelserne i requesten et fortløbene sekvensnummer.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Hændelserne placeres i kø i den rækkefølge som sekvensnummeret angiver.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maksimalt modtages et parameterstyret antal hændelser pr. kald.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modtager ikke fremtidige hændelser. </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blot en af hændelserne i requestet indeholder fejl afvises alle hændelserne.</w:t>
            </w:r>
          </w:p>
        </w:tc>
      </w:tr>
      <w:tr w:rsidR="000B1835" w:rsidTr="000B1835">
        <w:tblPrEx>
          <w:tblCellMar>
            <w:top w:w="0" w:type="dxa"/>
            <w:bottom w:w="0" w:type="dxa"/>
          </w:tblCellMar>
        </w:tblPrEx>
        <w:trPr>
          <w:trHeight w:val="283"/>
        </w:trPr>
        <w:tc>
          <w:tcPr>
            <w:tcW w:w="10205" w:type="dxa"/>
            <w:gridSpan w:val="6"/>
            <w:shd w:val="clear" w:color="auto" w:fill="D2DCF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B1835" w:rsidTr="000B1835">
        <w:tblPrEx>
          <w:tblCellMar>
            <w:top w:w="0" w:type="dxa"/>
            <w:bottom w:w="0" w:type="dxa"/>
          </w:tblCellMar>
        </w:tblPrEx>
        <w:trPr>
          <w:trHeight w:val="283"/>
        </w:trPr>
        <w:tc>
          <w:tcPr>
            <w:tcW w:w="10205" w:type="dxa"/>
            <w:gridSpan w:val="6"/>
            <w:shd w:val="clear" w:color="auto" w:fill="FFFFFF"/>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B1835" w:rsidTr="000B1835">
        <w:tblPrEx>
          <w:tblCellMar>
            <w:top w:w="0" w:type="dxa"/>
            <w:bottom w:w="0" w:type="dxa"/>
          </w:tblCellMar>
        </w:tblPrEx>
        <w:trPr>
          <w:trHeight w:val="283"/>
        </w:trPr>
        <w:tc>
          <w:tcPr>
            <w:tcW w:w="10205" w:type="dxa"/>
            <w:gridSpan w:val="6"/>
            <w:shd w:val="clear" w:color="auto" w:fill="FFFFFF"/>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IMMultiHændelseModtag_I</w:t>
            </w:r>
          </w:p>
        </w:tc>
      </w:tr>
      <w:tr w:rsidR="000B1835" w:rsidTr="000B1835">
        <w:tblPrEx>
          <w:tblCellMar>
            <w:top w:w="0" w:type="dxa"/>
            <w:bottom w:w="0" w:type="dxa"/>
          </w:tblCellMar>
        </w:tblPrEx>
        <w:trPr>
          <w:trHeight w:val="283"/>
        </w:trPr>
        <w:tc>
          <w:tcPr>
            <w:tcW w:w="10205" w:type="dxa"/>
            <w:gridSpan w:val="6"/>
            <w:shd w:val="clear" w:color="auto" w:fill="FFFFFF"/>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HændelseSamling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EFIHændelseStruktur</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B1835" w:rsidTr="000B1835">
        <w:tblPrEx>
          <w:tblCellMar>
            <w:top w:w="0" w:type="dxa"/>
            <w:bottom w:w="0" w:type="dxa"/>
          </w:tblCellMar>
        </w:tblPrEx>
        <w:trPr>
          <w:trHeight w:val="283"/>
        </w:trPr>
        <w:tc>
          <w:tcPr>
            <w:tcW w:w="10205" w:type="dxa"/>
            <w:gridSpan w:val="6"/>
            <w:shd w:val="clear" w:color="auto" w:fill="FFFFFF"/>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B1835" w:rsidTr="000B1835">
        <w:tblPrEx>
          <w:tblCellMar>
            <w:top w:w="0" w:type="dxa"/>
            <w:bottom w:w="0" w:type="dxa"/>
          </w:tblCellMar>
        </w:tblPrEx>
        <w:trPr>
          <w:trHeight w:val="283"/>
        </w:trPr>
        <w:tc>
          <w:tcPr>
            <w:tcW w:w="10205" w:type="dxa"/>
            <w:gridSpan w:val="6"/>
            <w:shd w:val="clear" w:color="auto" w:fill="FFFFFF"/>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IMMultiHændelseModtag_O</w:t>
            </w:r>
          </w:p>
        </w:tc>
      </w:tr>
      <w:tr w:rsidR="000B1835" w:rsidTr="000B1835">
        <w:tblPrEx>
          <w:tblCellMar>
            <w:top w:w="0" w:type="dxa"/>
            <w:bottom w:w="0" w:type="dxa"/>
          </w:tblCellMar>
        </w:tblPrEx>
        <w:trPr>
          <w:trHeight w:val="283"/>
        </w:trPr>
        <w:tc>
          <w:tcPr>
            <w:tcW w:w="10205" w:type="dxa"/>
            <w:gridSpan w:val="6"/>
            <w:shd w:val="clear" w:color="auto" w:fill="FFFFFF"/>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(EFIHændelseModtaget)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FørsteFejl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EFIHændelseSekvensnummer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B1835" w:rsidTr="000B1835">
        <w:tblPrEx>
          <w:tblCellMar>
            <w:top w:w="0" w:type="dxa"/>
            <w:bottom w:w="0" w:type="dxa"/>
          </w:tblCellMar>
        </w:tblPrEx>
        <w:trPr>
          <w:trHeight w:val="283"/>
        </w:trPr>
        <w:tc>
          <w:tcPr>
            <w:tcW w:w="10205" w:type="dxa"/>
            <w:gridSpan w:val="6"/>
            <w:shd w:val="clear" w:color="auto" w:fill="D2DCF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B1835" w:rsidTr="000B1835">
        <w:tblPrEx>
          <w:tblCellMar>
            <w:top w:w="0" w:type="dxa"/>
            <w:bottom w:w="0" w:type="dxa"/>
          </w:tblCellMar>
        </w:tblPrEx>
        <w:trPr>
          <w:trHeight w:val="283"/>
        </w:trPr>
        <w:tc>
          <w:tcPr>
            <w:tcW w:w="10205" w:type="dxa"/>
            <w:gridSpan w:val="6"/>
            <w:shd w:val="clear" w:color="auto" w:fill="FFFFFF"/>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Gentaget sekvensnummer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Alle Hændelser afvises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Manglende sekvensnummer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Alle Hændelser afvises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findes ikke i EFI</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bliver ikke behandlet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 Liste af kundenumre, der ikke findes i EFI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Hændelsesdato ligger ikke fremtiden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bliver ikke behandlet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strukturer i input end servicen kan modtage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bliver ikke behandlet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0B1835" w:rsidTr="000B1835">
        <w:tblPrEx>
          <w:tblCellMar>
            <w:top w:w="0" w:type="dxa"/>
            <w:bottom w:w="0" w:type="dxa"/>
          </w:tblCellMar>
        </w:tblPrEx>
        <w:trPr>
          <w:trHeight w:val="283"/>
        </w:trPr>
        <w:tc>
          <w:tcPr>
            <w:tcW w:w="10205" w:type="dxa"/>
            <w:gridSpan w:val="6"/>
            <w:shd w:val="clear" w:color="auto" w:fill="D2DCF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B1835" w:rsidTr="000B1835">
        <w:tblPrEx>
          <w:tblCellMar>
            <w:top w:w="0" w:type="dxa"/>
            <w:bottom w:w="0" w:type="dxa"/>
          </w:tblCellMar>
        </w:tblPrEx>
        <w:trPr>
          <w:trHeight w:val="283"/>
        </w:trPr>
        <w:tc>
          <w:tcPr>
            <w:tcW w:w="10205" w:type="dxa"/>
            <w:gridSpan w:val="6"/>
            <w:shd w:val="clear" w:color="auto" w:fill="FFFFFF"/>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B1835" w:rsidSect="000B183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BEOEkstraInfoStruktur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DividendeSamling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Dividende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DividendeProcent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BetalingOrdningDækningRækkefølgeÆndrStruktur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FordringOmfattetAfBetalingordningListe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FordringOmfattetAfBetalingordning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DMIFordringTypeFradragsret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BetalingOrdningAndelValg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ProcentAndel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BetalingOrdningDækProcent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DækningRækkefølgeBeløbStruktur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B1835" w:rsidTr="000B1835">
        <w:tblPrEx>
          <w:tblCellMar>
            <w:top w:w="0" w:type="dxa"/>
            <w:bottom w:w="0" w:type="dxa"/>
          </w:tblCellMar>
        </w:tblPrEx>
        <w:tc>
          <w:tcPr>
            <w:tcW w:w="10205" w:type="dxa"/>
            <w:shd w:val="clear" w:color="auto" w:fill="D2DCF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0B1835" w:rsidTr="000B1835">
        <w:tblPrEx>
          <w:tblCellMar>
            <w:top w:w="0" w:type="dxa"/>
            <w:bottom w:w="0" w:type="dxa"/>
          </w:tblCellMar>
        </w:tblPrEx>
        <w:tc>
          <w:tcPr>
            <w:tcW w:w="10205" w:type="dxa"/>
            <w:shd w:val="clear" w:color="auto" w:fill="FFFFFF"/>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dækningsrækkefølge ændret" som udsendes af dialogerne POR_SAG_BO_03</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BetalingOrdningOprettetStruktur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B1835" w:rsidTr="000B1835">
        <w:tblPrEx>
          <w:tblCellMar>
            <w:top w:w="0" w:type="dxa"/>
            <w:bottom w:w="0" w:type="dxa"/>
          </w:tblCellMar>
        </w:tblPrEx>
        <w:tc>
          <w:tcPr>
            <w:tcW w:w="10205" w:type="dxa"/>
            <w:shd w:val="clear" w:color="auto" w:fill="D2DCF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B1835" w:rsidTr="000B1835">
        <w:tblPrEx>
          <w:tblCellMar>
            <w:top w:w="0" w:type="dxa"/>
            <w:bottom w:w="0" w:type="dxa"/>
          </w:tblCellMar>
        </w:tblPrEx>
        <w:tc>
          <w:tcPr>
            <w:tcW w:w="10205" w:type="dxa"/>
            <w:shd w:val="clear" w:color="auto" w:fill="FFFFFF"/>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notifikation om nyoprettet betalingsordning. Knyttet til hændelsestypen "Betalingsordning oprettet" udsendt at betalingsordningsindsatsen ved oprettelsen af betalingsordningen. Bruges kun internt i EFI kerne.</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BetalingOrdningParametreRateÆndrStruktur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AlternativIndbetaler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RateListe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(BetalingOrdningGiroFremsendt)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(BetalingOrdningRateIndbetalt)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B1835" w:rsidTr="000B1835">
        <w:tblPrEx>
          <w:tblCellMar>
            <w:top w:w="0" w:type="dxa"/>
            <w:bottom w:w="0" w:type="dxa"/>
          </w:tblCellMar>
        </w:tblPrEx>
        <w:tc>
          <w:tcPr>
            <w:tcW w:w="10205" w:type="dxa"/>
            <w:shd w:val="clear" w:color="auto" w:fill="D2DCF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B1835" w:rsidTr="000B1835">
        <w:tblPrEx>
          <w:tblCellMar>
            <w:top w:w="0" w:type="dxa"/>
            <w:bottom w:w="0" w:type="dxa"/>
          </w:tblCellMar>
        </w:tblPrEx>
        <w:tc>
          <w:tcPr>
            <w:tcW w:w="10205" w:type="dxa"/>
            <w:shd w:val="clear" w:color="auto" w:fill="FFFFFF"/>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Struktur til ændring af betalingsordning. Knyttet til hændelsestypen "BEO parametre eller rater ændret" som udsendes af dialogen POR_SAG_BO_04</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BobehandlingAnnulerForventetIndbetalingStruktur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ForventetIndbetalingSamling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BobehandlingAutomatiskTvangsopløsningStruktur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VirksomhedStatusTypeTekst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BobehandlingForventetIndbetalingOpretStruktur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ForventetIndbetalingOpretSamling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BobehandlingFremtidigHændelseStruktur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FremtidigHændelsesSamling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FremtidigHændelse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BobehandlingSamarbejdspartner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BobehandlingKontaktIDSamling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BobehandlingÆndrAutomatiskStruktur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(BobehandlingAfslutningResultatTekst)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(BobehandlingAnmeldelseDato)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(BobehandlingDødsDato)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(BobehandlingFørsteUdlodningsDato)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(BobehandlingStadfæstelseDato)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BødeforvandlingStrafAfsoningAflysStruktur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BødeforvandlingStrafAfsoningOpdater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BødeforvandlingStrafGensendVarselStruktur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BødeforvandlingStrafKorrektionSendStruktur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BødeforvandlingStrafOpdaterPolitikredsStruktur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(BødeforvandlingStrafSamarbejdspartKontakt)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(BødeforvandlingStrafSamarbejdspartTelefon)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(BødeforvandlingStrafSamarbejdspartReference)</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BødeforvandlingStrafSendAnmodningStruktur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BødeforvandlingStrafAnmodÅrsag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BødeforvandlingStrafSendVarselStruktur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BødeforvandlingStrafVarselÆndretStruktur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(EFIHenvendelseDato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CSRPAdresseStruktur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CSRPBasisHændelse</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CSRPCivilstandStruktur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EFICivilstandKode</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EFICivilstandStatusDato</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CSRPDødsfaldStruktur</w:t>
            </w: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PersonStatusDødsfaldDato</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CSRPAdresseStruktur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CSRPCivilstandStruktur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CSRPDødsfaldStruktur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HenstandÆndretStruktur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ErkendFordringErkendelseStruktur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UdlægbladDanStruktur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UdlægbladKladdeStruktur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BetalingOrdningParametreRateÆndrStruktur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BetalingOrdningDækningRækkefølgeÆndrStruktur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BetalingOrdningOprettetStruktur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BobehandlingAnnulerForventetIndbetalingStruktur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BobehandlingFremtidigHændelseStruktur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BobehandlingÆndrAutomatiskStruktur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BobehandlingAutomatiskTvangsopløsningStruktur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BobehandlingForventetIndbetalingOpretStruktur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BødeforvandlingStrafAfsoningAflysStruktur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BødeforvandlingStrafAfsoningOpdater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BødeforvandlingStrafSendVarselStruktur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BødeforvandlingStrafGensendVarselStruktur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BødeforvandlingStrafKorrektionSendStruktur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BødeforvandlingStrafVarselÆndretStruktur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BødeforvandlingStrafSendAnmodningStruktur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BødeforvandlingStrafOpdaterPolitikredsStruktur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KUMGennemførtStruktur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KUMÆndrStruktur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MeddelelsePakkeDato1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OpkrævBeløbUdenlandsk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ValutaKurs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MeddelelsePakkeBeløb</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ForventetIndbetalingSRBDato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OpkrævBeløbDansk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AlternativIndbetaler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EFIOpgaveTid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OpgaveGennemførselstid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0B1835" w:rsidTr="000B1835">
        <w:tblPrEx>
          <w:tblCellMar>
            <w:top w:w="0" w:type="dxa"/>
            <w:bottom w:w="0" w:type="dxa"/>
          </w:tblCellMar>
        </w:tblPrEx>
        <w:tc>
          <w:tcPr>
            <w:tcW w:w="10205" w:type="dxa"/>
            <w:shd w:val="clear" w:color="auto" w:fill="D2DCF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B1835" w:rsidTr="000B1835">
        <w:tblPrEx>
          <w:tblCellMar>
            <w:top w:w="0" w:type="dxa"/>
            <w:bottom w:w="0" w:type="dxa"/>
          </w:tblCellMar>
        </w:tblPrEx>
        <w:tc>
          <w:tcPr>
            <w:tcW w:w="10205" w:type="dxa"/>
            <w:shd w:val="clear" w:color="auto" w:fill="FFFFFF"/>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Oprettelse af opgaver i ressourcestyringen og til informering af indsats om en opgave oprettet med ressouceallokering.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hvis Booking referencen er udfyldt, opfattes opgaven som oprettet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0B1835" w:rsidTr="000B1835">
        <w:tblPrEx>
          <w:tblCellMar>
            <w:top w:w="0" w:type="dxa"/>
            <w:bottom w:w="0" w:type="dxa"/>
          </w:tblCellMar>
        </w:tblPrEx>
        <w:tc>
          <w:tcPr>
            <w:tcW w:w="10205" w:type="dxa"/>
            <w:shd w:val="clear" w:color="auto" w:fill="D2DCF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B1835" w:rsidTr="000B1835">
        <w:tblPrEx>
          <w:tblCellMar>
            <w:top w:w="0" w:type="dxa"/>
            <w:bottom w:w="0" w:type="dxa"/>
          </w:tblCellMar>
        </w:tblPrEx>
        <w:tc>
          <w:tcPr>
            <w:tcW w:w="10205" w:type="dxa"/>
            <w:shd w:val="clear" w:color="auto" w:fill="FFFFFF"/>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Bookning af  af plukopgaver i ressourcestyringen og til informering af indsats om en opgave oprettet med ressouceallokering.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ErkendFordringErkendelseStruktur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ErkendFordringBegrundelse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FordringOprettetStruktur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(skalKvitteringSendes)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ErkendtAf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MedarbejderprofilWNummer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VirksomhedSENummer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0B1835" w:rsidTr="000B1835">
        <w:tblPrEx>
          <w:tblCellMar>
            <w:top w:w="0" w:type="dxa"/>
            <w:bottom w:w="0" w:type="dxa"/>
          </w:tblCellMar>
        </w:tblPrEx>
        <w:tc>
          <w:tcPr>
            <w:tcW w:w="10205" w:type="dxa"/>
            <w:shd w:val="clear" w:color="auto" w:fill="D2DCF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B1835" w:rsidTr="000B1835">
        <w:tblPrEx>
          <w:tblCellMar>
            <w:top w:w="0" w:type="dxa"/>
            <w:bottom w:w="0" w:type="dxa"/>
          </w:tblCellMar>
        </w:tblPrEx>
        <w:tc>
          <w:tcPr>
            <w:tcW w:w="10205" w:type="dxa"/>
            <w:shd w:val="clear" w:color="auto" w:fill="FFFFFF"/>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FordringÆndret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(HæftelseSubsidiær)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B1835" w:rsidTr="000B1835">
        <w:tblPrEx>
          <w:tblCellMar>
            <w:top w:w="0" w:type="dxa"/>
            <w:bottom w:w="0" w:type="dxa"/>
          </w:tblCellMar>
        </w:tblPrEx>
        <w:tc>
          <w:tcPr>
            <w:tcW w:w="10205" w:type="dxa"/>
            <w:shd w:val="clear" w:color="auto" w:fill="D2DCF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B1835" w:rsidTr="000B1835">
        <w:tblPrEx>
          <w:tblCellMar>
            <w:top w:w="0" w:type="dxa"/>
            <w:bottom w:w="0" w:type="dxa"/>
          </w:tblCellMar>
        </w:tblPrEx>
        <w:tc>
          <w:tcPr>
            <w:tcW w:w="10205" w:type="dxa"/>
            <w:shd w:val="clear" w:color="auto" w:fill="FFFFFF"/>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informerer om at fordrings saldo på et hæftelsesforholdet er ændret eller HæftelseSubsidiær er ændret. DMI udsender ikke hændelsen når der tilskrives renter.</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HenstandÆndretStruktur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(HenstandOpdaterForældelse)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(HenstandBookSagsbehandlerVedUdløb)</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(HenstandSenesteMeddelelsestype)</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(HenstandSkæringsdato)</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(IndsatsFordringFjernBegrundelse)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(BEOEkstraInfoStruktur)</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(AlternativAdresseAdresseLinie1)</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KUMGennemførtStruktur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KUMÆndrStruktur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KUMBenytSkattecenter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B1835" w:rsidTr="000B1835">
        <w:tblPrEx>
          <w:tblCellMar>
            <w:top w:w="0" w:type="dxa"/>
            <w:bottom w:w="0" w:type="dxa"/>
          </w:tblCellMar>
        </w:tblPrEx>
        <w:tc>
          <w:tcPr>
            <w:tcW w:w="10205" w:type="dxa"/>
            <w:shd w:val="clear" w:color="auto" w:fill="D2DCF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B1835" w:rsidTr="000B1835">
        <w:tblPrEx>
          <w:tblCellMar>
            <w:top w:w="0" w:type="dxa"/>
            <w:bottom w:w="0" w:type="dxa"/>
          </w:tblCellMar>
        </w:tblPrEx>
        <w:tc>
          <w:tcPr>
            <w:tcW w:w="10205" w:type="dxa"/>
            <w:shd w:val="clear" w:color="auto" w:fill="FFFFFF"/>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EFILønGensendBegrundelse</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tc>
      </w:tr>
      <w:tr w:rsidR="000B1835" w:rsidTr="000B1835">
        <w:tblPrEx>
          <w:tblCellMar>
            <w:top w:w="0" w:type="dxa"/>
            <w:bottom w:w="0" w:type="dxa"/>
          </w:tblCellMar>
        </w:tblPrEx>
        <w:tc>
          <w:tcPr>
            <w:tcW w:w="10205" w:type="dxa"/>
            <w:shd w:val="clear" w:color="auto" w:fill="D2DCF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B1835" w:rsidTr="000B1835">
        <w:tblPrEx>
          <w:tblCellMar>
            <w:top w:w="0" w:type="dxa"/>
            <w:bottom w:w="0" w:type="dxa"/>
          </w:tblCellMar>
        </w:tblPrEx>
        <w:tc>
          <w:tcPr>
            <w:tcW w:w="10205" w:type="dxa"/>
            <w:shd w:val="clear" w:color="auto" w:fill="FFFFFF"/>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information for samarbejdspartner eller kunderepræsentant Hvis kunderepræsentant eller samarbejdspart er registrerede i AKR, skal kundenavn og et af elementerne i adressestrukturen være udfyldte af Potalen. MeddelelsePakkeAdresseReferenceNummer er optionel reference information til modtageren.</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EFIMeddelelseStruktur</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1{</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DPDokumentListe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UdlægAktivForældelseDatoÆndrStruktur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UdlægUdsatMarkering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(AdressePostNummer)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PolitiSamarbejdsPart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SamarbejdPartType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SamarbejdPartNavn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KFIVirksomhedStamoplysningStruktur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*PolitifremstillingSted*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RSOrganisatoriskEnhedNavn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TilsigelseAdresse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OpgaveReferenceSamling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(TilsigSubsidiærHæfterMarkering)</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UdlægbladDanStruktur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1835" w:rsidTr="000B1835">
        <w:tblPrEx>
          <w:tblCellMar>
            <w:top w:w="0" w:type="dxa"/>
            <w:bottom w:w="0" w:type="dxa"/>
          </w:tblCellMar>
        </w:tblPrEx>
        <w:trPr>
          <w:trHeight w:hRule="exact" w:val="113"/>
        </w:trPr>
        <w:tc>
          <w:tcPr>
            <w:tcW w:w="10205" w:type="dxa"/>
            <w:shd w:val="clear" w:color="auto" w:fill="D2DCF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835" w:rsidTr="000B1835">
        <w:tblPrEx>
          <w:tblCellMar>
            <w:top w:w="0" w:type="dxa"/>
            <w:bottom w:w="0" w:type="dxa"/>
          </w:tblCellMar>
        </w:tblPrEx>
        <w:tc>
          <w:tcPr>
            <w:tcW w:w="10205" w:type="dx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UdlægbladKladdeStruktur</w:t>
            </w:r>
          </w:p>
        </w:tc>
      </w:tr>
      <w:tr w:rsidR="000B1835" w:rsidTr="000B1835">
        <w:tblPrEx>
          <w:tblCellMar>
            <w:top w:w="0" w:type="dxa"/>
            <w:bottom w:w="0" w:type="dxa"/>
          </w:tblCellMar>
        </w:tblPrEx>
        <w:tc>
          <w:tcPr>
            <w:tcW w:w="10205" w:type="dxa"/>
            <w:vAlign w:val="center"/>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(UdlægsbladForetagetDatoTid)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GenoptagPåAdresse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UdlægsbladKaldVarselFrasagt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*FordringSamling*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*AktivSamling*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tc>
      </w:tr>
    </w:tbl>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B1835" w:rsidSect="000B1835">
          <w:headerReference w:type="default" r:id="rId13"/>
          <w:pgSz w:w="11906" w:h="16838"/>
          <w:pgMar w:top="567" w:right="567" w:bottom="567" w:left="1134" w:header="283" w:footer="708" w:gutter="0"/>
          <w:cols w:space="708"/>
          <w:docGrid w:linePitch="360"/>
        </w:sect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B1835" w:rsidTr="000B1835">
        <w:tblPrEx>
          <w:tblCellMar>
            <w:top w:w="0" w:type="dxa"/>
            <w:bottom w:w="0" w:type="dxa"/>
          </w:tblCellMar>
        </w:tblPrEx>
        <w:trPr>
          <w:tblHeader/>
        </w:trPr>
        <w:tc>
          <w:tcPr>
            <w:tcW w:w="3401" w:type="dxa"/>
            <w:shd w:val="clear" w:color="auto" w:fill="D2DCF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w:t>
            </w:r>
            <w:r>
              <w:rPr>
                <w:rFonts w:ascii="Arial" w:hAnsi="Arial" w:cs="Arial"/>
                <w:sz w:val="18"/>
              </w:rPr>
              <w:lastRenderedPageBreak/>
              <w:t>forveksling bør bogstaverne I, J, O og Q dog ikke benyttes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AdresseTilHusNummer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AlternativAdresseAdresseLinie2</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Andel i procent af indbetalingen (raten), der skal anvendes på den pågældende fordring.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BetalingOrdningGiroFremsendt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giro fremsendt.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Betalingordning giro ikke fremsendt.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BetalingOrdningRateIndbetalt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Hvis akkumuleret indbetalte beløb (IndbetaltBeløb ) &gt;= BetalingOrdningRateBeløbStruktur. Indikerer at kunden har indbetalt raten.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Hvis akkumuleret indbetalte beløb (IndbetaltBeløb ) &lt; BetalingOrdningRateBeløbStruktur. Kunden har kun delvist eller slet ikke indbetalt ratebeløbet.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AKT, IAKT, ANNU</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Anvendes til at angive om raten er aktiveret, inaktiv eller annuleret.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BetalingOrdningRateStatÅrTekst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BetalingOrdningÆndrBegrundelse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betalingsordningen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 f.eks: Fastholdt/Ændret/Hjemvist/Andet.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Afgørelsesårsag f.eks: Fastholdt/Ændret/Hjemvist/Andet.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boets afslutning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BobehandlingAfslutningResultatTekst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 Koden er en klar tekst, der anvendes til aktering.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BobehandlingAnsøgningDato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BobehandlingDødsDato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BobehandlingFørsteUdlodningsDato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1. udlodning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 af konkursbegæringdato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 .eks: Fastholdt/Helt medhold/Delvis medhold/Andet.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for om forældelse skal beregnes jftr regler om forældelse.  Hvis markering ikke er sat, bliver forældelse ikke genberegnet for omfattede fordringer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BobehandlingSkæringDato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BobehandlingStadfæstelseDato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stadfæstelse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BødeforvandlingStrafAnmodÅrsag</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BEAarsOpg, BUFor, Andet</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BEAarsOpg : Betalingsevne efter årsopgørelse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BUFor: Budgetvurdering foretaget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BødeforvandlingStrafKorrektionÅrsag</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DelvisBetFlere, DelvisModFlere, BoedeFrafaldFlere, NyeBoederAfson, Andet, FuldBetaling, ModregnAlle, BoedeFrafaldIngen, HenstandBevilg, BOOprettet, AnsEftergivelse, KundeDoed, UnderBOB, KundeUdrejst, TilbagekaldAndet, BoedeAfsonet, StoppetAnden, StatusAfson, FordringKorrektion</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DelvisBetFlere: Delvis betaling - der er flere bøder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DelvisModFlere: Delvis modregning - der er flere bøder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BoedeFrafaldFlere: Bøde frafaldet - der er flere bøder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NyeBoederAfson: Ny bøde til afsoning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Korrektion vedr. andet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FuldBetaling: Fuld betaling modtaget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ModregnAlle: Modregning - dækker alle bøder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BoedeFrafaldIngen: Bøde frafaldet - der er ikke flere bøder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HenstandBevilg: Henstand er bevilget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BOOprettet: Betalingsordning er oprettet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AnsEftergivelse: Ansøgning om eftergivelse modtaget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KundeDoed: Kunden er død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UnderBOB: Under bobehandling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KundeUdrejst: Kunde er udrejst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TilbagekaldAndet: Tilbagekaldelse vedr. andet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BoedeAfsonet: Bøde afsonet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StoppetAnden: Stoppet af politi, anden årsag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StatusAfson: Status om afsoningssagen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 :Korrektion vedrørende kundens fordringer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BødeforvandlingStrafSamarbejdspartKontakt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kontakt i forhold til aktuel indsats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BødeforvandlingStrafSamarbejdspartReference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i forhold til aktuel indsats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BødeforvandlingStrafSamarbejdspartTelefon</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telefon i forhold til aktuel indsats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BødeforvandlingStrafSendBrev</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Varsel frist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BødeforvandlingStrafVarselÅrsag</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NyeFordModt, KundeBO, KundeIndfri, AfvBudget, EftergivAnsoeg, HenstandAnsoeg, Klage, Andet</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NyeFordModt : Nye fordringer modtaget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KundeBO: Kunde vil indgå en betalingsordning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KundeIndfri: Kunde vil indfri alle bøder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AfvBudget: Afventer yderligere budgetoplysninger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EftergivAnsoeg: Eftergivelsesansøgning på vej</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HenstandAnsoeg: Henstandsanmodning på vej</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Klage på vej fra kunde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CSRPBasisHændelse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 GF, FO</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adresseregistrering i CSR-P, der er årsag til adressehændelsen: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 = Folkeregisteradressehændelse, AdresseGyldigFraDato angiver, hvilken dato den nye Folkeregisteradresse er gyldig fra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GF = Genfindingshændelse, AdresseGyldigFraDato angiver hvilken dato personen er genfundet på</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 = Forsvundethændelse, AdresseGyldigFraDato angiver den dato personen blev registreret forsvundet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DMIFordringTilsigelseBeløbDKK</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fordrings aktuelle gæld på tilsigelsesdatoen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DividendeProcent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betalingordningen, der skal betales pr. rate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035: Udenlandsk forening (UF)</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w:t>
            </w:r>
            <w:r>
              <w:rPr>
                <w:rFonts w:ascii="Arial" w:hAnsi="Arial" w:cs="Arial"/>
                <w:sz w:val="18"/>
              </w:rPr>
              <w:lastRenderedPageBreak/>
              <w:t>liti, BFSBookBudget, BFSBookVarskoKunde, EFBookRKH, KUMBook</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Benyttes som underhændelsestype i en  bookingsvar hændelse fra RSEFIOpgaveBook</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EFICivilstandKode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Gift eller indtrådt i registreret partnerskab</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Fraskilt eller har fået opløst registreret partnerskab</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EFICivilstandStatusDato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EFIHændelseDato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EFIHændelseModtaget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EFI-hændelse er modtaget.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BetalEvneAenMidlertidigt, BetalEvneAenVarigt, BetalEvneSLAendret, IndkomsttypeAendret, BetOrdMislighol, BetOrdOprettet, BladAenUdl, BobKontaktGem, BobKontaktSlet, BookingSvar, </w:t>
            </w:r>
            <w:r>
              <w:rPr>
                <w:rFonts w:ascii="Arial" w:hAnsi="Arial" w:cs="Arial"/>
                <w:sz w:val="18"/>
              </w:rPr>
              <w:lastRenderedPageBreak/>
              <w:t xml:space="preserve">CSRPAdresseHaendelse, CSRPCivilstandHaendelse, CSRPDoedsfaldHaendelse, EjGenfoertUdl, FOHSUdloeb, FOKOBIndberet, FOKOBVarsl, FordOprettet, FordSaldoAen, ForkyndlDatoAenUdl, FORYKBetFrist, FOUdlModtaglAdkomstErk, GemKladdeUdl, GnptgSprSkft, HaeftelseAen, HenstandAendret,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LoenGensendAnmodningLoenoplysning, LoenGensendForhoej, LoenGensendGenoptag, LoenGensendIvaerksaet, LoenGensendIvaerksaetMedYderligereFordringer, LoenGensendNedsaet, LoenGensendStigningProcent, LoenGensendVarsel, LoenGensendVarselStigning, </w:t>
            </w:r>
            <w:r>
              <w:rPr>
                <w:rFonts w:ascii="Arial" w:hAnsi="Arial" w:cs="Arial"/>
                <w:sz w:val="18"/>
              </w:rPr>
              <w:lastRenderedPageBreak/>
              <w:t>LoenIvaerksaet, LoenNedsaetProcent, LoenOphaevBeroStil, ManMeddSend, ManOpgOpret, MeddIkModtaget, MeddIkSendt, MoedeAenUdl, OmfAktiverFjernet, OmfFordFjernet, PolitiEftersoegAnmodSend, RYKBetFristAen, Scrng, StpSprSkft, TilsigSend, VarslFristAenKOB, HaeftelseForaeld, FOAfslutMan, BEOFristOverskredSidsteRateBetalt, BEODaekningAendret, BEORateAendret, BobMeddSend, BobOpgOpret, BOBBosagAendr, BOBBosagAendrAutomatisk, UdlaegAlleAktiverFjernet, UdlaegPolitiAnnuller, UdlaegPolitifremstillingGensend, BFSAfsoningAflys, BFSOpdaterAfson, BFSAflysAfson, BFSSendAnmod, BFSGensendVarsel, BFSGensendAfson, BFSSendAflys, BFSSendKor, BFSSendOpfoel, BFSVarselAendret, BFSFOForaeldet, BFSFOOpfoelg, BFSFOVarselUdloeb, EFSagEr, EFFristOS, EFRykkerFristOS, EFBookRKH, EFBookRKHRyk, EFGenStart, KUMAendr, KUMFOPaamind, KUMGennemfoert, BFSPolitiKreds, KUMBook, PolitiStatusCheck, BFSSendVarsel</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BobKontaktGem: BobehandlingKontaktGem,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BobKontaktSlet: BobehandlingKontaktSlet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FordOprettet: FordringOprettet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HenstandAendret: HenstandAendret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LoenGensendVarselStigning: Gensend: Varsel om stigning i lønindeholdelsesprocent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FOAfslutMan: FristOverskredet: Afslut Manuel sagsbehandling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BOAendret: Betalingsordning ændret, parametre, dækningsrækkefølge eller rater ændret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BFSAflysAfson: BFS Aflys afsoning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BFSGensendAfson: BFS Gensend Anmodning om afsoning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BFSGensendVarsel: BFS Gensend Varsko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BFSOpdaterAfson: BFS Opdater Afsoningsinformation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BFSSendAflys: BFS Send Aflysning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BFSSendAnmod: BFS Send Anmodning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BFSSendKorrektion: BFS Send Korrektion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BFSSendOpfoel: BFS Send Opfølgning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BFSSendVarsel: BFS Send Varsko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BFSVarselAendret: BFS Varsko Ændret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BFSFOForaeldet: FristOverskredet: BFS Frist forældelse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BFSFOOpfoelg: FristOverskredet: BFS Opfølgningsdato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BFSFOVarselUdloeb: FristOverskredet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EFSagEr: Sagsbehandler erkender fordringer på kundens vegne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EFFristOS: Erkend fordring erkendelsesfrist er overskredet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EFRykkerFristOS: Erkend fordring rykkerfrist er overskredet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 Booket ressource til Erkend fordring kundehenvendelse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EFBookRKHRyk: Booket ressource til rykker for Erkend fordring kundehenvendelse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EFGenStart: Genstart en Erkend fordring indsats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KUMAendr:  KundemødeÆndr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KUMFOPaamind: FristOverskredet: Påmind kunde om kundemøde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KUMGennemfoert: Kundemøde gennemført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BFSPolitiKreds: BFS Opdater politikreds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KUMBook: Booket ressource til: (KUM) meddelelse om kundemøde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CivilstandAen: Kundens civilstand er ændret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Doedfald: Kunden er død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PolitiStatusCheck: Udlæg check politistatus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UdlægAlleAktiverFjernet: Hændelse til indikation af at alle aktiver er fjernet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EFIKorrektionBeløb</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som sagsbehandler kan vælge at korrigere med. Beløbet lægges til tilsigelsesbeløbet for at korrigere for de hovedfordringer og underfordringer </w:t>
            </w:r>
            <w:r>
              <w:rPr>
                <w:rFonts w:ascii="Arial" w:hAnsi="Arial" w:cs="Arial"/>
                <w:sz w:val="18"/>
              </w:rPr>
              <w:lastRenderedPageBreak/>
              <w:t>(opkrævningsrenter og opkrævningsgebyr) der er frasagt kald og varsel på.</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EFIKundeType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EFILønGensendBegrundelse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begrundelse for at gensende lønindeholdelse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EFIMeddelelseTypeNummer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ETLAnmaerkninger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ETLStatus</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ErkendFordringBegrundelse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som skal til DMI</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HenstandBegrundelseTekst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HenstandBookSagsbehandlerVedUdløb</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sagsbehandler ved udløb af indsats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HenstandOpdaterForældelse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fordringers forældelse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HenstandSenesteMeddelelsestype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Seneste meddelelsestype(navn)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HenstandSkæringsdato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Skæringsdato for indsatsen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(0-9a-f){32}</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IndsatsStartdato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KUMBenytSkattecenter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skattecenter skal benyttes som møde adresse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Landekode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LandNavn</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meddelelsespakke id som unique tekst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MyndighedNummer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OpgørelseDato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Fogedret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ScoreBegrundelse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REKONSTRUKTION_REKONSTRUKTIONSFORSLAG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StopAutomatiskSporskifteBegrundelse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TilsigSubsidiærHæfterMarkering</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at tilsigelsen er til en kunde, der er hæfter subsidiært for fordringerne, hvis værdien er sand.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UdlægUdsatMarkering</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udlægsmødet er udsat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UdlægsbladGenoptagDatoTid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ValutaDato</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VirksomhedNavnFirmaNavnKort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VirksomhedStatusTypeTekst</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virksomhedstatustypen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Teksten for virksomhedsstatustypen kan antage: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likvidation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konkurs</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 efter likvidation</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tvangsopløsning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Tvangsakkord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Frivillig akkord</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Stiftelse nægtet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Omdannelse nægtet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 nægtet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betalingsstandsning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Brugeligt pant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Opløst</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835" w:rsidTr="000B1835">
        <w:tblPrEx>
          <w:tblCellMar>
            <w:top w:w="0" w:type="dxa"/>
            <w:bottom w:w="0" w:type="dxa"/>
          </w:tblCellMar>
        </w:tblPrEx>
        <w:tc>
          <w:tcPr>
            <w:tcW w:w="3401" w:type="dxa"/>
          </w:tcPr>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skalKvitteringSendes</w:t>
            </w:r>
          </w:p>
        </w:tc>
        <w:tc>
          <w:tcPr>
            <w:tcW w:w="170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B1835" w:rsidRPr="000B1835" w:rsidRDefault="000B1835" w:rsidP="000B18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B1835" w:rsidRPr="000B1835" w:rsidSect="000B183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1835" w:rsidRDefault="000B1835" w:rsidP="000B1835">
      <w:pPr>
        <w:spacing w:line="240" w:lineRule="auto"/>
      </w:pPr>
      <w:r>
        <w:separator/>
      </w:r>
    </w:p>
  </w:endnote>
  <w:endnote w:type="continuationSeparator" w:id="0">
    <w:p w:rsidR="000B1835" w:rsidRDefault="000B1835" w:rsidP="000B18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835" w:rsidRDefault="000B183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835" w:rsidRPr="000B1835" w:rsidRDefault="000B1835" w:rsidP="000B183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IMMultiHændelseModtag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835" w:rsidRDefault="000B183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1835" w:rsidRDefault="000B1835" w:rsidP="000B1835">
      <w:pPr>
        <w:spacing w:line="240" w:lineRule="auto"/>
      </w:pPr>
      <w:r>
        <w:separator/>
      </w:r>
    </w:p>
  </w:footnote>
  <w:footnote w:type="continuationSeparator" w:id="0">
    <w:p w:rsidR="000B1835" w:rsidRDefault="000B1835" w:rsidP="000B183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835" w:rsidRDefault="000B183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835" w:rsidRPr="000B1835" w:rsidRDefault="000B1835" w:rsidP="000B1835">
    <w:pPr>
      <w:pStyle w:val="Sidehoved"/>
      <w:jc w:val="center"/>
      <w:rPr>
        <w:rFonts w:ascii="Arial" w:hAnsi="Arial" w:cs="Arial"/>
      </w:rPr>
    </w:pPr>
    <w:r w:rsidRPr="000B1835">
      <w:rPr>
        <w:rFonts w:ascii="Arial" w:hAnsi="Arial" w:cs="Arial"/>
      </w:rPr>
      <w:t>Servicebeskrivelse</w:t>
    </w:r>
  </w:p>
  <w:p w:rsidR="000B1835" w:rsidRPr="000B1835" w:rsidRDefault="000B1835" w:rsidP="000B183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835" w:rsidRDefault="000B183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835" w:rsidRPr="000B1835" w:rsidRDefault="000B1835" w:rsidP="000B1835">
    <w:pPr>
      <w:pStyle w:val="Sidehoved"/>
      <w:jc w:val="center"/>
      <w:rPr>
        <w:rFonts w:ascii="Arial" w:hAnsi="Arial" w:cs="Arial"/>
      </w:rPr>
    </w:pPr>
    <w:r w:rsidRPr="000B1835">
      <w:rPr>
        <w:rFonts w:ascii="Arial" w:hAnsi="Arial" w:cs="Arial"/>
      </w:rPr>
      <w:t>Datastrukturer</w:t>
    </w:r>
  </w:p>
  <w:p w:rsidR="000B1835" w:rsidRPr="000B1835" w:rsidRDefault="000B1835" w:rsidP="000B183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835" w:rsidRDefault="000B1835" w:rsidP="000B1835">
    <w:pPr>
      <w:pStyle w:val="Sidehoved"/>
      <w:jc w:val="center"/>
      <w:rPr>
        <w:rFonts w:ascii="Arial" w:hAnsi="Arial" w:cs="Arial"/>
      </w:rPr>
    </w:pPr>
    <w:r>
      <w:rPr>
        <w:rFonts w:ascii="Arial" w:hAnsi="Arial" w:cs="Arial"/>
      </w:rPr>
      <w:t>Data elementer</w:t>
    </w:r>
  </w:p>
  <w:p w:rsidR="000B1835" w:rsidRPr="000B1835" w:rsidRDefault="000B1835" w:rsidP="000B183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7224AA"/>
    <w:multiLevelType w:val="multilevel"/>
    <w:tmpl w:val="E7E24F2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835"/>
    <w:rsid w:val="000B1835"/>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8242CA-81C8-40E4-98E9-3C6FE5BD3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B183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B183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B183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B183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B183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B183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B183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B183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B183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B183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B183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B183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B183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B183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B183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B183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B183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B183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B183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B1835"/>
    <w:rPr>
      <w:rFonts w:ascii="Arial" w:hAnsi="Arial" w:cs="Arial"/>
      <w:b/>
      <w:sz w:val="30"/>
    </w:rPr>
  </w:style>
  <w:style w:type="paragraph" w:customStyle="1" w:styleId="Overskrift211pkt">
    <w:name w:val="Overskrift 2 + 11 pkt"/>
    <w:basedOn w:val="Normal"/>
    <w:link w:val="Overskrift211pktTegn"/>
    <w:rsid w:val="000B183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B1835"/>
    <w:rPr>
      <w:rFonts w:ascii="Arial" w:hAnsi="Arial" w:cs="Arial"/>
      <w:b/>
    </w:rPr>
  </w:style>
  <w:style w:type="paragraph" w:customStyle="1" w:styleId="Normal11">
    <w:name w:val="Normal + 11"/>
    <w:basedOn w:val="Normal"/>
    <w:link w:val="Normal11Tegn"/>
    <w:rsid w:val="000B183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B1835"/>
    <w:rPr>
      <w:rFonts w:ascii="Times New Roman" w:hAnsi="Times New Roman" w:cs="Times New Roman"/>
    </w:rPr>
  </w:style>
  <w:style w:type="paragraph" w:styleId="Sidehoved">
    <w:name w:val="header"/>
    <w:basedOn w:val="Normal"/>
    <w:link w:val="SidehovedTegn"/>
    <w:uiPriority w:val="99"/>
    <w:unhideWhenUsed/>
    <w:rsid w:val="000B183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B1835"/>
  </w:style>
  <w:style w:type="paragraph" w:styleId="Sidefod">
    <w:name w:val="footer"/>
    <w:basedOn w:val="Normal"/>
    <w:link w:val="SidefodTegn"/>
    <w:uiPriority w:val="99"/>
    <w:unhideWhenUsed/>
    <w:rsid w:val="000B1835"/>
    <w:pPr>
      <w:tabs>
        <w:tab w:val="center" w:pos="4819"/>
        <w:tab w:val="right" w:pos="9638"/>
      </w:tabs>
      <w:spacing w:line="240" w:lineRule="auto"/>
    </w:pPr>
  </w:style>
  <w:style w:type="character" w:customStyle="1" w:styleId="SidefodTegn">
    <w:name w:val="Sidefod Tegn"/>
    <w:basedOn w:val="Standardskrifttypeiafsnit"/>
    <w:link w:val="Sidefod"/>
    <w:uiPriority w:val="99"/>
    <w:rsid w:val="000B18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50</Pages>
  <Words>11737</Words>
  <Characters>71600</Characters>
  <Application>Microsoft Office Word</Application>
  <DocSecurity>0</DocSecurity>
  <Lines>596</Lines>
  <Paragraphs>166</Paragraphs>
  <ScaleCrop>false</ScaleCrop>
  <Company>skat</Company>
  <LinksUpToDate>false</LinksUpToDate>
  <CharactersWithSpaces>83171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2017-04-27T10:56:00Z</dcterms:created>
  <dcterms:modified xsi:type="dcterms:W3CDTF">2017-04-27T11:00:00Z</dcterms:modified>
</cp:coreProperties>
</file>