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121E1D" w:rsidTr="00121E1D">
        <w:tblPrEx>
          <w:tblCellMar>
            <w:top w:w="0" w:type="dxa"/>
            <w:bottom w:w="0" w:type="dxa"/>
          </w:tblCellMar>
        </w:tblPrEx>
        <w:trPr>
          <w:trHeight w:hRule="exact" w:val="113"/>
        </w:trPr>
        <w:tc>
          <w:tcPr>
            <w:tcW w:w="10205" w:type="dxa"/>
            <w:gridSpan w:val="5"/>
            <w:shd w:val="clear" w:color="auto" w:fill="82A0F0"/>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rPr>
          <w:trHeight w:val="283"/>
        </w:trPr>
        <w:tc>
          <w:tcPr>
            <w:tcW w:w="10205" w:type="dxa"/>
            <w:gridSpan w:val="5"/>
            <w:tcBorders>
              <w:bottom w:val="single" w:sz="6" w:space="0" w:color="auto"/>
            </w:tcBorders>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21E1D">
              <w:rPr>
                <w:rFonts w:ascii="Arial" w:hAnsi="Arial" w:cs="Arial"/>
                <w:b/>
                <w:sz w:val="30"/>
              </w:rPr>
              <w:t>EFIMeddelelseSamlingContainer</w:t>
            </w:r>
          </w:p>
        </w:tc>
      </w:tr>
      <w:tr w:rsidR="00121E1D" w:rsidTr="00121E1D">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21E1D" w:rsidTr="00121E1D">
        <w:tblPrEx>
          <w:tblCellMar>
            <w:top w:w="0" w:type="dxa"/>
            <w:bottom w:w="0" w:type="dxa"/>
          </w:tblCellMar>
        </w:tblPrEx>
        <w:trPr>
          <w:trHeight w:val="283"/>
        </w:trPr>
        <w:tc>
          <w:tcPr>
            <w:tcW w:w="1701" w:type="dxa"/>
            <w:tcBorders>
              <w:top w:val="nil"/>
            </w:tcBorders>
            <w:shd w:val="clear" w:color="auto" w:fill="auto"/>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1.30</w:t>
            </w:r>
          </w:p>
        </w:tc>
        <w:tc>
          <w:tcPr>
            <w:tcW w:w="1699" w:type="dxa"/>
            <w:tcBorders>
              <w:top w:val="nil"/>
            </w:tcBorders>
            <w:shd w:val="clear" w:color="auto" w:fill="auto"/>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2011-02-10</w:t>
            </w:r>
          </w:p>
        </w:tc>
        <w:tc>
          <w:tcPr>
            <w:tcW w:w="1699" w:type="dxa"/>
            <w:tcBorders>
              <w:top w:val="nil"/>
            </w:tcBorders>
            <w:shd w:val="clear" w:color="auto" w:fill="auto"/>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2015-05-13</w:t>
            </w:r>
          </w:p>
        </w:tc>
      </w:tr>
      <w:tr w:rsidR="00121E1D" w:rsidTr="00121E1D">
        <w:tblPrEx>
          <w:tblCellMar>
            <w:top w:w="0" w:type="dxa"/>
            <w:bottom w:w="0" w:type="dxa"/>
          </w:tblCellMar>
        </w:tblPrEx>
        <w:trPr>
          <w:trHeight w:val="283"/>
        </w:trPr>
        <w:tc>
          <w:tcPr>
            <w:tcW w:w="10205" w:type="dxa"/>
            <w:gridSpan w:val="5"/>
            <w:shd w:val="clear" w:color="auto" w:fill="D2DCF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21E1D" w:rsidTr="00121E1D">
        <w:tblPrEx>
          <w:tblCellMar>
            <w:top w:w="0" w:type="dxa"/>
            <w:bottom w:w="0" w:type="dxa"/>
          </w:tblCellMar>
        </w:tblPrEx>
        <w:trPr>
          <w:trHeight w:val="283"/>
        </w:trPr>
        <w:tc>
          <w:tcPr>
            <w:tcW w:w="10205" w:type="dxa"/>
            <w:gridSpan w:val="5"/>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DUMMY-service, som MIDLERTIDIGT er oprettet til at kunne udskrive EFI-meddelelsesstrukturer.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der er en tilsvarende MFMeddelelseSamlingContainer der definerer meddelelsesstrukturer rettet mod fordringshaver.</w:t>
            </w:r>
          </w:p>
        </w:tc>
      </w:tr>
      <w:tr w:rsidR="00121E1D" w:rsidTr="00121E1D">
        <w:tblPrEx>
          <w:tblCellMar>
            <w:top w:w="0" w:type="dxa"/>
            <w:bottom w:w="0" w:type="dxa"/>
          </w:tblCellMar>
        </w:tblPrEx>
        <w:trPr>
          <w:trHeight w:val="283"/>
        </w:trPr>
        <w:tc>
          <w:tcPr>
            <w:tcW w:w="10205" w:type="dxa"/>
            <w:gridSpan w:val="5"/>
            <w:shd w:val="clear" w:color="auto" w:fill="D2DCF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21E1D" w:rsidTr="00121E1D">
        <w:tblPrEx>
          <w:tblCellMar>
            <w:top w:w="0" w:type="dxa"/>
            <w:bottom w:w="0" w:type="dxa"/>
          </w:tblCellMar>
        </w:tblPrEx>
        <w:trPr>
          <w:trHeight w:val="283"/>
        </w:trPr>
        <w:tc>
          <w:tcPr>
            <w:tcW w:w="10205" w:type="dxa"/>
            <w:gridSpan w:val="5"/>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Listerne af lovtekster og klagetekster returnerer ikke dubletter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FordringSamling indeholder kun hovedfordringer. </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 FordringSamling sorteres efter FordringTypeDækningrækkefølge (klasse 1 til 3), DMIFordringModtagelseDato</w:t>
            </w:r>
          </w:p>
        </w:tc>
      </w:tr>
      <w:tr w:rsidR="00121E1D" w:rsidTr="00121E1D">
        <w:tblPrEx>
          <w:tblCellMar>
            <w:top w:w="0" w:type="dxa"/>
            <w:bottom w:w="0" w:type="dxa"/>
          </w:tblCellMar>
        </w:tblPrEx>
        <w:trPr>
          <w:trHeight w:val="283"/>
        </w:trPr>
        <w:tc>
          <w:tcPr>
            <w:tcW w:w="10205" w:type="dxa"/>
            <w:gridSpan w:val="5"/>
            <w:shd w:val="clear" w:color="auto" w:fill="D2DCF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21E1D" w:rsidTr="00121E1D">
        <w:tblPrEx>
          <w:tblCellMar>
            <w:top w:w="0" w:type="dxa"/>
            <w:bottom w:w="0" w:type="dxa"/>
          </w:tblCellMar>
        </w:tblPrEx>
        <w:trPr>
          <w:trHeight w:val="283"/>
        </w:trPr>
        <w:tc>
          <w:tcPr>
            <w:tcW w:w="10205" w:type="dxa"/>
            <w:gridSpan w:val="5"/>
            <w:shd w:val="clear" w:color="auto" w:fill="FFFFFF"/>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21E1D" w:rsidTr="00121E1D">
        <w:tblPrEx>
          <w:tblCellMar>
            <w:top w:w="0" w:type="dxa"/>
            <w:bottom w:w="0" w:type="dxa"/>
          </w:tblCellMar>
        </w:tblPrEx>
        <w:trPr>
          <w:trHeight w:val="283"/>
        </w:trPr>
        <w:tc>
          <w:tcPr>
            <w:tcW w:w="10205" w:type="dxa"/>
            <w:gridSpan w:val="5"/>
            <w:shd w:val="clear" w:color="auto" w:fill="FFFFFF"/>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EFIMeddelelseSamlingContainer_I</w:t>
            </w:r>
          </w:p>
        </w:tc>
      </w:tr>
      <w:tr w:rsidR="00121E1D" w:rsidTr="00121E1D">
        <w:tblPrEx>
          <w:tblCellMar>
            <w:top w:w="0" w:type="dxa"/>
            <w:bottom w:w="0" w:type="dxa"/>
          </w:tblCellMar>
        </w:tblPrEx>
        <w:trPr>
          <w:trHeight w:val="283"/>
        </w:trPr>
        <w:tc>
          <w:tcPr>
            <w:tcW w:w="10205" w:type="dxa"/>
            <w:gridSpan w:val="5"/>
            <w:shd w:val="clear" w:color="auto" w:fill="FFFFFF"/>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EFIMeddelelseBobehandlingStruktur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EFIMeddelelseHenstandStruktur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EFIMeddelelseKreditOplysningBureauStruktur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EFIMeddelelseBetalingRykkerStruktur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EFIMeddelelseUdlægTilsigelseStruktur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EFIMeddelelseUdlægAndelStruktur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EFIMeddelelseBetalingEvneStruktur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EFIMeddelelseLønindeholdelseStruktur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EFIMeddelelseBetalingOrdningStruktur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EFIMeddelelseBødeforvandlingsstrafStruktur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EFIMeddelelseManuelSagsbehandlingStruktur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EFIMeddelelseUdlægPolitiStruktur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EFIMeddelelseUdlægsbladStruktur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MFMeddelelseReturnerStruktur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MFMeddelelseAfskrivStruktur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EFIMeddelelseAfskrivStruktur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MFMeddelelseAfregnStruktur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MFMeddelelseRenteTilskrivningStruktur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MFMeddelelseModregningStruktur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MFMeddelelseNyFordringHaverStruktur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MFMeddelelseKundeÆndringStruktur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EFIMeddelelseErkendFordringStruktur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EFIMeddelelseKundemødeStruktur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EFIMeddelelseRentegodtgørelseStruktur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MFMeddelelseNyTransportAdministratorStruktur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EFIMeddelelseStatstidendeMeddelelseStruktur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EFIMeddelelseKundeTransportOprettetStruktur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EFIMeddelelseRettighedshaverTransportOprettetStruktur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EFIMeddelelseRettighedshaverTransportAfvistStruktur</w:t>
            </w:r>
          </w:p>
        </w:tc>
      </w:tr>
      <w:tr w:rsidR="00121E1D" w:rsidTr="00121E1D">
        <w:tblPrEx>
          <w:tblCellMar>
            <w:top w:w="0" w:type="dxa"/>
            <w:bottom w:w="0" w:type="dxa"/>
          </w:tblCellMar>
        </w:tblPrEx>
        <w:trPr>
          <w:trHeight w:val="283"/>
        </w:trPr>
        <w:tc>
          <w:tcPr>
            <w:tcW w:w="10205" w:type="dxa"/>
            <w:gridSpan w:val="5"/>
            <w:shd w:val="clear" w:color="auto" w:fill="FFFFFF"/>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21E1D" w:rsidTr="00121E1D">
        <w:tblPrEx>
          <w:tblCellMar>
            <w:top w:w="0" w:type="dxa"/>
            <w:bottom w:w="0" w:type="dxa"/>
          </w:tblCellMar>
        </w:tblPrEx>
        <w:trPr>
          <w:trHeight w:val="283"/>
        </w:trPr>
        <w:tc>
          <w:tcPr>
            <w:tcW w:w="10205" w:type="dxa"/>
            <w:gridSpan w:val="5"/>
            <w:shd w:val="clear" w:color="auto" w:fill="FFFFFF"/>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EFIMeddelelseSamlingContainer_O</w:t>
            </w:r>
          </w:p>
        </w:tc>
      </w:tr>
      <w:tr w:rsidR="00121E1D" w:rsidTr="00121E1D">
        <w:tblPrEx>
          <w:tblCellMar>
            <w:top w:w="0" w:type="dxa"/>
            <w:bottom w:w="0" w:type="dxa"/>
          </w:tblCellMar>
        </w:tblPrEx>
        <w:trPr>
          <w:trHeight w:val="283"/>
        </w:trPr>
        <w:tc>
          <w:tcPr>
            <w:tcW w:w="10205" w:type="dxa"/>
            <w:gridSpan w:val="5"/>
            <w:shd w:val="clear" w:color="auto" w:fill="FFFFFF"/>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rPr>
          <w:trHeight w:val="283"/>
        </w:trPr>
        <w:tc>
          <w:tcPr>
            <w:tcW w:w="10205" w:type="dxa"/>
            <w:gridSpan w:val="5"/>
            <w:shd w:val="clear" w:color="auto" w:fill="D2DCF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21E1D" w:rsidTr="00121E1D">
        <w:tblPrEx>
          <w:tblCellMar>
            <w:top w:w="0" w:type="dxa"/>
            <w:bottom w:w="0" w:type="dxa"/>
          </w:tblCellMar>
        </w:tblPrEx>
        <w:trPr>
          <w:trHeight w:val="283"/>
        </w:trPr>
        <w:tc>
          <w:tcPr>
            <w:tcW w:w="10205" w:type="dxa"/>
            <w:gridSpan w:val="5"/>
            <w:shd w:val="clear" w:color="auto" w:fill="FFFFFF"/>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21E1D" w:rsidSect="00121E1D">
          <w:headerReference w:type="default" r:id="rId7"/>
          <w:footerReference w:type="default" r:id="rId8"/>
          <w:pgSz w:w="11906" w:h="16838"/>
          <w:pgMar w:top="567" w:right="567" w:bottom="567" w:left="1134" w:header="283" w:footer="708" w:gutter="0"/>
          <w:cols w:space="708"/>
          <w:docGrid w:linePitch="360"/>
        </w:sect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AkkumulGebyrRestBeløbStruktur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AkkumulRenteRestBeløbStruktur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AlternativKontaktErstatningNummerStruktur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ErstatningNummerValg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BarnBudgetSumBeløbStruktur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IndtægtPostSumBeløb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(IndtægtPostSumBeløbDKK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UdgiftPostSumBeløb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(UdgiftPostSumBeløbDKK)</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ResultatTilBudgetSumBeløb</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(ResultatTilBudgetSumBeløbDKK)</w:t>
            </w:r>
          </w:p>
        </w:tc>
      </w:tr>
      <w:tr w:rsidR="00121E1D" w:rsidTr="00121E1D">
        <w:tblPrEx>
          <w:tblCellMar>
            <w:top w:w="0" w:type="dxa"/>
            <w:bottom w:w="0" w:type="dxa"/>
          </w:tblCellMar>
        </w:tblPrEx>
        <w:tc>
          <w:tcPr>
            <w:tcW w:w="10205" w:type="dxa"/>
            <w:shd w:val="clear" w:color="auto" w:fill="D2DCF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21E1D" w:rsidTr="00121E1D">
        <w:tblPrEx>
          <w:tblCellMar>
            <w:top w:w="0" w:type="dxa"/>
            <w:bottom w:w="0" w:type="dxa"/>
          </w:tblCellMar>
        </w:tblPrEx>
        <w:tc>
          <w:tcPr>
            <w:tcW w:w="10205" w:type="dxa"/>
            <w:shd w:val="clear" w:color="auto" w:fill="FFFFFF"/>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Sumstruktur for et barn identificeret ved CPR-nummer eller fødselsdag.  Indeholder summen af udgifter og indtægter for et barn</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(BetalingEvneBeregnetAIndkomstDKK)</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BobehandlingKontaktStruktur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BobehandlingKontaktID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BobehandlingKontaktNavn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(BobehandlingKontaktRef)</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(BobehandlingKontaktNr)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BobehandlingKontakt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BudgetSumBeløbStruktur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BudgetSumTotalBeløb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(BudgetSumTotalBeløbDKK)</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BudgetPostSumListe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BudgetPostGruppeSum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EFIBudgetPostGruppeKode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EFIBudgetPostGruppeSumStruktur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*BørneBudgetSumBeløbStruktur*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(BørneBudgetSumTotalBeløb)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(BørneBudgetSumTotalBeløbDKK)</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BørneBudgetIndtægtSumBeløb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(BørneBudgetIndtægtSumBeløbDKK)</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BørneBudgetUdgiftSumBeløb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(BørneBudgetUdgiftSumBeløbDKK)</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BarnBudgetSumListe*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BarnBudgetSumBeløbStruktur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21E1D" w:rsidTr="00121E1D">
        <w:tblPrEx>
          <w:tblCellMar>
            <w:top w:w="0" w:type="dxa"/>
            <w:bottom w:w="0" w:type="dxa"/>
          </w:tblCellMar>
        </w:tblPrEx>
        <w:tc>
          <w:tcPr>
            <w:tcW w:w="10205" w:type="dxa"/>
            <w:shd w:val="clear" w:color="auto" w:fill="D2DCF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21E1D" w:rsidTr="00121E1D">
        <w:tblPrEx>
          <w:tblCellMar>
            <w:top w:w="0" w:type="dxa"/>
            <w:bottom w:w="0" w:type="dxa"/>
          </w:tblCellMar>
        </w:tblPrEx>
        <w:tc>
          <w:tcPr>
            <w:tcW w:w="10205" w:type="dxa"/>
            <w:shd w:val="clear" w:color="auto" w:fill="FFFFFF"/>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Samler beløbene der er summeret over forskellige indtægts- og udgiftsgrupper i en beløbsstruktur.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Børnebudgetter kan kun oprettes på personkunder registreret i CPR registeret.</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BørneBudgetPostStruktur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(EFIBudgetPostBeløbStruktur)</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BørneBudgetStruktur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BørneBudgetPostListe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BørneBudgetPostStruktur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EFIBudgetPostBeløbStruktur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(EFIBudgetPostBeløbDKK)</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EFIBudgetPostStatusKode</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EFIBudgetPostGruppeSumStruktur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KundePostSumBeløb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(KundePostSumBeløbDKK)</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SamleverPostSumBeløb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(SamleverPostSumBeløbDKK)</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(PostGruppeSumBeløb)</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(PostGruppeSumBeløbDKK)</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(EFIBudgetPostID)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(EFIBudgetPostGruppeKode)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EFIBudgetPostTypeKode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(EFIBudgetPostErØvrigePostMarkering)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(EFIBudgetPostBeskrivelse)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(EFIBudgetPostSidstRedigeretAf)</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(EFIBudgetPostSidstRedigeretAfRolle)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(EFIBudgetPostSorteringRækkefølge)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EFIBudgetPostDokumenteret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(EFIBudgetPostErØvrigePostStatus)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(EFIBudgetPostKundeBegrundelse)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(EFIBudgetPostSagsbehandlerBegrundelse)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(EFIBudgetPostSamleverBegrundelse)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(EFIBudgetPostGyldigFraDato)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(EFIBudgetPostGyldigTilDato)</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EFIBudgetPostRedigerbar</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EFIVersionNummer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(EFIBudgetTypeKode)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EFIBudgetStatusKode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(EFIBudgetÆgtefælleCPRNummer)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(EFIBudgetSidstGodkendtAf)</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(EFIBudgetSidstGodkendtDato)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(EFIBudgetSidstRedigeretAf)</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(EFIBudgetSidstRedigeretAfRolle)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(EFIBudgetGyldigFraDato)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(EFIBudgetGyldigTilDato)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BudgetTypeValg*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VirksomhedBudgetStruktur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PersonBudgetStruktur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EFIMeddelelseAfskrivStruktur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r>
              <w:rPr>
                <w:rFonts w:ascii="Arial" w:hAnsi="Arial" w:cs="Arial"/>
                <w:sz w:val="18"/>
              </w:rPr>
              <w:tab/>
              <w:t>* FordringhaverNavn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r>
              <w:rPr>
                <w:rFonts w:ascii="Arial" w:hAnsi="Arial" w:cs="Arial"/>
                <w:sz w:val="18"/>
              </w:rPr>
              <w:tab/>
            </w:r>
            <w:r>
              <w:rPr>
                <w:rFonts w:ascii="Arial" w:hAnsi="Arial" w:cs="Arial"/>
                <w:sz w:val="18"/>
              </w:rPr>
              <w:tab/>
              <w:t>KundeNavn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t xml:space="preserv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DMIFordringAfskrivTilbagekald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TransaktionHæftelseFordringValg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RestGæld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EFIMeddelelseBetalingEvneStruktur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(HenvendelseStruktur)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(EFIBudgetModtagetDato)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(EFIBudgetReturDato)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(EFIBudgetGyldigTilDato)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BudgetPostIkkeGodkendtListe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PersonBudgetPostStruktur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BudgetPostDelvistGodkendtListe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PersonBudgetPostStruktur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LåneUdgiftPostIkkeGodkentListe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LåneUdgiftPostStruktur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LåneUdgiftPostDelvistGodkentListe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LåneUdgiftPostStruktur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BørneBudgetPostIkkeGodkendtListe *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BørneBudgetPostStruktur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BørneBudgetPostDelvistGodkendtListe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BørneBudgetPostStruktur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EFIMeddelelseBetalingOrdningStruktur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TilføjetFordringer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OmfattetFordringer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EFIMeddelelseFordringListeGrundStruktur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(HenvendelseStruktur)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BetalingOrdningID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(BetalingOrdningRatefrekvens)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(BetalingOrdningStart)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(BetalingOrdningSlut)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(BetalingOrdningKundeBankKonto)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(BetalingEvneBeløbStruktur)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(BetalingEvneBegrundelse)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(EFIBudgetReturDato)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(BetalingEvneBeregningGrundlagKode)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(BetalingOrdningRateSRBDato)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(KFIPersonStamoplysningStruktur)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(EFILønEindkomstMånedÅr)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(EFILønseddelMånedÅr)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(EFILønÅrsopgørelseÅrNummer)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(BetalingOrdningBSAccept)</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(BetalingOrdningBSMarkering)</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EFIMeddelelseBetalingRykkerStruktur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(BetalingRykkerID)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BetalingRykkerBeløb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BetalingRykkerSRBDato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BetalingRykkerAfsendtDato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(BetalingRykkerPåmindelseDato)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(BetalingRykkerAnnulleretDato)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(BetalingRykkerFristÆndrÅrsag)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(BetalingRykkerFristÆndrAntal)</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(BetalingRykkerGebyr)</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EFIMeddelelseBobehandlingStruktur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EFIMeddelelseSendStruktur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Boet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PersonNavnNavn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(BetalingEvneBegrundelse)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(BetalingOrdningRatefrekvens)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(BetalingOrdningAntalRater)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(BetalingOrdningStart)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(BetalingOrdningSlut)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OmfattetFordringer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BOBKontaktSamStruktur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BobehandlingKontaktStruktur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BOBKontaktKurStruktur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BobehandlingKontaktStruktur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SagsKundeSamling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SagsKundeStruktur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EFIMeddelelseBødeforvandlingsstrafStruktur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(SagsKundeStruktur)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OmfattetFordringer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NyeFordringer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(HenvendelseStruktur)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SamarbejdPart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SamarbejdPartStruktur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(BødeforvandlingStrafForældelsesDato)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(BødeforvandlingStrafÅrsag)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(BødeforvandlingStrafAnmodningSendtDato)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(BødeforvandlingStrafVarselSendtDato)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(BetalingEvneBeregningGrundlagKode)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(EFILønEindkomstMånedÅr)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(EFILønseddelMånedÅr)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(EFILønÅrsopgørelseÅrNummer)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(EFIBudgetReturDato)</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EFIMeddelelseErkendFordringStruktur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OmfattetFordringer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TilføjetFordringer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(ErkendelseDato)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(ErkendelseFristDato)</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(HenvendelseStruktur)</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EFIMeddelelseFordringGrundStruktur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HovedfordringStamoplysninger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(DMIHovedFordringEFIFordringID)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(DMIFordringFordringHaverBeskr)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DMIFordringFordringArtKode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DMIFordringPeriodeFraDato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DMIFordringPeriodeTilDato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(DMIFordringModtagelseDato)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DMIFordringForfaldDato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DMIFordringBeløb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DMIFordringValutaKode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(DMIFordringSRBDato)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(EFIEnkeltIndbetalingBeløb)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(EFIFordringFratrukketBeløb)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(KaldVarselFordringFrasagt)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FordringhaverNavn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HovedfordringSumRestBeløbDKK</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AkkumulRenteRestBeløbStruktur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AkkumulGebyrRestBeløbStruktur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(RenteValgStruktur)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(KaldVarselFragsagtInddrivelsesrenteBeløbDKK)</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(KaldVarselFordringFragsagtOpkrRenteogGebyrBeløbDKK)</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(UdlægFordringIndbetalingBeløbDKK)</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UdlægFordringUdlægBeløbDKK</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EFIMeddelelseFordringListeGrundStruktur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EFIMeddelelseFordringGrundStruktur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(OmfattetFordringSumDKK)</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(SaldoPerDato)</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(OmfattetFordringFratrukketIndbetalingSumDKK)</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EFIMeddelelseGrundStruktur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(ForventetIndbetalingOCRLinie)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(ForventetIndbetalingSRBDato)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(ForventetIndbetalingSumDKK)</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KlageTekstSamling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KlageSagFremstilling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LovTekstSamling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LovTekst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21E1D" w:rsidTr="00121E1D">
        <w:tblPrEx>
          <w:tblCellMar>
            <w:top w:w="0" w:type="dxa"/>
            <w:bottom w:w="0" w:type="dxa"/>
          </w:tblCellMar>
        </w:tblPrEx>
        <w:tc>
          <w:tcPr>
            <w:tcW w:w="10205" w:type="dxa"/>
            <w:shd w:val="clear" w:color="auto" w:fill="D2DCF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21E1D" w:rsidTr="00121E1D">
        <w:tblPrEx>
          <w:tblCellMar>
            <w:top w:w="0" w:type="dxa"/>
            <w:bottom w:w="0" w:type="dxa"/>
          </w:tblCellMar>
        </w:tblPrEx>
        <w:tc>
          <w:tcPr>
            <w:tcW w:w="10205" w:type="dxa"/>
            <w:shd w:val="clear" w:color="auto" w:fill="FFFFFF"/>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generisk staminformation for EFI-meddelelse, herunder: klagehenvisning(er), lovhenvisning(er), udsendelsesdato</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EFIMeddelelseHenstandStruktur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(EFIHENAfgørelseDato)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TilføjedeFordringSamling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EFIMeddelelseFordringListeGrundStruktur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SamletGæld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FordringRestBeløbStruktur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tc>
      </w:tr>
      <w:tr w:rsidR="00121E1D" w:rsidTr="00121E1D">
        <w:tblPrEx>
          <w:tblCellMar>
            <w:top w:w="0" w:type="dxa"/>
            <w:bottom w:w="0" w:type="dxa"/>
          </w:tblCellMar>
        </w:tblPrEx>
        <w:tc>
          <w:tcPr>
            <w:tcW w:w="10205" w:type="dxa"/>
            <w:shd w:val="clear" w:color="auto" w:fill="D2DCF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21E1D" w:rsidTr="00121E1D">
        <w:tblPrEx>
          <w:tblCellMar>
            <w:top w:w="0" w:type="dxa"/>
            <w:bottom w:w="0" w:type="dxa"/>
          </w:tblCellMar>
        </w:tblPrEx>
        <w:tc>
          <w:tcPr>
            <w:tcW w:w="10205" w:type="dxa"/>
            <w:shd w:val="clear" w:color="auto" w:fill="FFFFFF"/>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EFIMeddelelseKreditOplysningBureauStruktur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KOBIndberetningUdløbDato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(PersonFødselDato)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EnkeltmandsVirksomhedCVRNummer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21E1D" w:rsidTr="00121E1D">
        <w:tblPrEx>
          <w:tblCellMar>
            <w:top w:w="0" w:type="dxa"/>
            <w:bottom w:w="0" w:type="dxa"/>
          </w:tblCellMar>
        </w:tblPrEx>
        <w:tc>
          <w:tcPr>
            <w:tcW w:w="10205" w:type="dxa"/>
            <w:shd w:val="clear" w:color="auto" w:fill="D2DCF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21E1D" w:rsidTr="00121E1D">
        <w:tblPrEx>
          <w:tblCellMar>
            <w:top w:w="0" w:type="dxa"/>
            <w:bottom w:w="0" w:type="dxa"/>
          </w:tblCellMar>
        </w:tblPrEx>
        <w:tc>
          <w:tcPr>
            <w:tcW w:w="10205" w:type="dxa"/>
            <w:shd w:val="clear" w:color="auto" w:fill="FFFFFF"/>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EFIMeddelelseKundeTransportOprettetStruktur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TransportRettighedHaver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TransportRettighedshaverElementIndStruktur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EFIMeddelelseKundemødeStruktur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AktivitetMødeDato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AktivitetMødeTid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(SkattecenterNavn)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EFIMeddelelseLønindeholdelseStruktur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TilføjetFordringer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OmfattetFordringer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(EFIKundeFristDato)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(EFILønIværksatProcent)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(SLønIndeholdelseBeløbDKK)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(EFILønReduceretProcent)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(EFILønJusteretProcent)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SenesteAfgørelse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EFILønJusteretProcent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(EFILønAfdragProcent)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(EFILønEindkomstMånedÅr)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(EFILønseddelMånedÅr)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(EFILønÅrsopgørelseÅrNummer)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(EFILønBudget)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(LønIndeholdelseBegrundelseStruktur)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(GebyrBeløb)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BetalingsOrdning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EFILønAfgørelseDatoForIgangværende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(EFILønAfgørelseDatoForIgangværende)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(EFILønVarselDato)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(EFILønPeriodeManglendeLønoplysning)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Betalingsevneberegning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EFIMeddelelseManuelSagsbehandlingStruktur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EFIMeddelelseSendStruktur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SagsKundeSamling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SagsKundeStruktur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EFIMeddelelseRentegodtgørelseStruktur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(RenteGodtgørelseBeregnBeløbDKK)</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RenteGodtgørelseBeregnBeløb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RenteGodtgørelsePeriodeFra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RenteGodtgørelsePeriodeTil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RenteGodtgørelseType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BeregnetGodtgørelseListe*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BeregnetGodtgørelseListe*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RenteGodtgørelseDelPeriodeBlb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(RenteGodtgørelseDelPeriodeBlbDKK)</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RenteGodtgørelseDelPeriodeFra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RenteGodtgørelseDelPeriodeTil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(RenteGodtgørelseRefRenteSats)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RenteGodtgørelseSumRenteSats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RenteGodtgørelseBeløbStruktur</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EFIMeddelelseRettighedshaverTransportAfvistStruktur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MFOpgaveAfvisÅrsagKode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MFOpgaveAfvisÅrsagBegr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(MFOpgaveAfvisÅrsagTekst)</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EFIMeddelelseRettighedshaverTransportOprettetStruktur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UnderretSamling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MFUnderretTransportOprettetStruktur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EFIMeddelelseSendStruktur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MeddelelsePakkeDato1*</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MeddelelsePakkeDato2*</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MeddelelsePakkeDato3*</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MeddelelsePakkeDato4*</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ValgIndbetaler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OpkrævBeløbUdenlandsk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ValutaKurs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MeddelelsePakkeBeløb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ForventetIndbetalingUdbAltIndb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MeddelelsePakkeTekst1*</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MeddelelsePakkeTekst2*</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MeddelelsePakkeTekst3*</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MeddelelsePakkeTekst4*</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MeddelelsePakkeTekstLang1*</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MeddelelsePakkeTekstLang2*</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MeddelelsePakkeTekstLang3*</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MeddelelsePakkeTekstLang4*</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MeddelelsePakkeTekstLang5*</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MeddelelsePakkeTekstLang6*</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21E1D" w:rsidTr="00121E1D">
        <w:tblPrEx>
          <w:tblCellMar>
            <w:top w:w="0" w:type="dxa"/>
            <w:bottom w:w="0" w:type="dxa"/>
          </w:tblCellMar>
        </w:tblPrEx>
        <w:tc>
          <w:tcPr>
            <w:tcW w:w="10205" w:type="dxa"/>
            <w:shd w:val="clear" w:color="auto" w:fill="D2DCF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21E1D" w:rsidTr="00121E1D">
        <w:tblPrEx>
          <w:tblCellMar>
            <w:top w:w="0" w:type="dxa"/>
            <w:bottom w:w="0" w:type="dxa"/>
          </w:tblCellMar>
        </w:tblPrEx>
        <w:tc>
          <w:tcPr>
            <w:tcW w:w="10205" w:type="dxa"/>
            <w:shd w:val="clear" w:color="auto" w:fill="FFFFFF"/>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BobMeddSend, ManMeddSend</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EFIMeddelelseStatstidendeMeddelelseStruktur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(StatstidendeMeddelelseStruktur)</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EFIMeddelelseUdlægAndelStruktur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(UdlægUdsendelseDato)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AndelsBoligAdresse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SagsKundeStruktur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(UdlægTinglysningSendtDato)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(UdlægDato)</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(DatoLøbeNummer)</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EFIMeddelelseUdlægPolitiStruktur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(PolitiEftersøgningDato)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(PolitiFremstillingDato)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(EFIMeddelelseUdlægTilsigelseStruktur)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SagsKundeStruktur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TidligereDrevetVirksomhedAdresse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PolitifremstillingSted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RSOrganisatoriskEnhedNavn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21E1D" w:rsidTr="00121E1D">
        <w:tblPrEx>
          <w:tblCellMar>
            <w:top w:w="0" w:type="dxa"/>
            <w:bottom w:w="0" w:type="dxa"/>
          </w:tblCellMar>
        </w:tblPrEx>
        <w:tc>
          <w:tcPr>
            <w:tcW w:w="10205" w:type="dxa"/>
            <w:shd w:val="clear" w:color="auto" w:fill="D2DCF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21E1D" w:rsidTr="00121E1D">
        <w:tblPrEx>
          <w:tblCellMar>
            <w:top w:w="0" w:type="dxa"/>
            <w:bottom w:w="0" w:type="dxa"/>
          </w:tblCellMar>
        </w:tblPrEx>
        <w:tc>
          <w:tcPr>
            <w:tcW w:w="10205" w:type="dxa"/>
            <w:shd w:val="clear" w:color="auto" w:fill="FFFFFF"/>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beregnet til udsendelse af breve i forbindelse med enten politieftersøgning eller fremstilling (aflysning/anmodning). Brevene er stilet til samarbejdparten (f.eks politimester) og skal indeholde information om kundens virksomheder, tidligere drevne virksomheder, herunder CVR nummer.  Kundens bopælsadresse skal også benyttes. Eftersøgnings og forkyndelsesdatoer (af tilsigelser) skal bruges som reference.</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EFIMeddelelseUdlægTilsigelseStruktur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(UdlægUdsendelseDato)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(UdlægMødeDatoTid)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Tilsigelse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SagsKundeStruktur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tc>
      </w:tr>
      <w:tr w:rsidR="00121E1D" w:rsidTr="00121E1D">
        <w:tblPrEx>
          <w:tblCellMar>
            <w:top w:w="0" w:type="dxa"/>
            <w:bottom w:w="0" w:type="dxa"/>
          </w:tblCellMar>
        </w:tblPrEx>
        <w:tc>
          <w:tcPr>
            <w:tcW w:w="10205" w:type="dxa"/>
            <w:shd w:val="clear" w:color="auto" w:fill="D2DCF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21E1D" w:rsidTr="00121E1D">
        <w:tblPrEx>
          <w:tblCellMar>
            <w:top w:w="0" w:type="dxa"/>
            <w:bottom w:w="0" w:type="dxa"/>
          </w:tblCellMar>
        </w:tblPrEx>
        <w:tc>
          <w:tcPr>
            <w:tcW w:w="10205" w:type="dxa"/>
            <w:shd w:val="clear" w:color="auto" w:fill="FFFFFF"/>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Tilsigelsen skal sendes til tilsigelsesadressen, hvis denne er udfyldt, ellers til kundens standardadresse. Udlægsforretningen afholdes på udlægsadressen, som kan være bestemt af Ressourcestyringen.</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sagsbehandler indtaster en alternativ tilsigelsesadresse, så sender EFI adressen i den ustrukturerede adresse i KFIAdresseStruktur.</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EFIMeddelelseUdlægsbladStruktur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(UdlægMødeDatoTid)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ForetagetPåAdresse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UdlægAktivStrukturListe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UdlægSagsbehandlerStruktur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(UdlægsbladKaldVarselFrasagt)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(UdlægsbladTotalKaldVarselFrasagtBeløbDKK)</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(UdlægsbladTotalKaldVarselFrasagtOpkrRenteogGebyrBeløbDDK)</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(UdlægsbladTotalIndbetalingBeløbDDK)</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(UdlægsbladTotalUdlægBeløbDKK)</w:t>
            </w:r>
          </w:p>
        </w:tc>
      </w:tr>
      <w:tr w:rsidR="00121E1D" w:rsidTr="00121E1D">
        <w:tblPrEx>
          <w:tblCellMar>
            <w:top w:w="0" w:type="dxa"/>
            <w:bottom w:w="0" w:type="dxa"/>
          </w:tblCellMar>
        </w:tblPrEx>
        <w:tc>
          <w:tcPr>
            <w:tcW w:w="10205" w:type="dxa"/>
            <w:shd w:val="clear" w:color="auto" w:fill="D2DCF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21E1D" w:rsidTr="00121E1D">
        <w:tblPrEx>
          <w:tblCellMar>
            <w:top w:w="0" w:type="dxa"/>
            <w:bottom w:w="0" w:type="dxa"/>
          </w:tblCellMar>
        </w:tblPrEx>
        <w:tc>
          <w:tcPr>
            <w:tcW w:w="10205" w:type="dxa"/>
            <w:shd w:val="clear" w:color="auto" w:fill="FFFFFF"/>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i forbindelse med oprettelse af kvitteringer til tredjepart efter udlæg er gennemført. Kvitteringen skal indeholde kundens adresse og info vedrørende udlægsforretningen så som udlægsadresse, datoer og hvem der var til stede.  Der skal være en mindre liste over aktiver, der er foretaget udlæg i. Forhold som vedrører udlægget så som om låsesmed har været anvendt, skal også med. Sagsbehandlerstrukturens formål er at kunne identificere sagsbehandleren ved navn på brevet.</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FordringAfregningBeløbStruktur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(FordringAfregningBeløbDKK)</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121E1D" w:rsidTr="00121E1D">
        <w:tblPrEx>
          <w:tblCellMar>
            <w:top w:w="0" w:type="dxa"/>
            <w:bottom w:w="0" w:type="dxa"/>
          </w:tblCellMar>
        </w:tblPrEx>
        <w:tc>
          <w:tcPr>
            <w:tcW w:w="10205" w:type="dxa"/>
            <w:shd w:val="clear" w:color="auto" w:fill="D2DCF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21E1D" w:rsidTr="00121E1D">
        <w:tblPrEx>
          <w:tblCellMar>
            <w:top w:w="0" w:type="dxa"/>
            <w:bottom w:w="0" w:type="dxa"/>
          </w:tblCellMar>
        </w:tblPrEx>
        <w:tc>
          <w:tcPr>
            <w:tcW w:w="10205" w:type="dxa"/>
            <w:shd w:val="clear" w:color="auto" w:fill="FFFFFF"/>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FordringHaverAfregningBeløbStruktur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(FordringHaverAfregningBeløbDKK)</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121E1D" w:rsidTr="00121E1D">
        <w:tblPrEx>
          <w:tblCellMar>
            <w:top w:w="0" w:type="dxa"/>
            <w:bottom w:w="0" w:type="dxa"/>
          </w:tblCellMar>
        </w:tblPrEx>
        <w:tc>
          <w:tcPr>
            <w:tcW w:w="10205" w:type="dxa"/>
            <w:shd w:val="clear" w:color="auto" w:fill="D2DCF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21E1D" w:rsidTr="00121E1D">
        <w:tblPrEx>
          <w:tblCellMar>
            <w:top w:w="0" w:type="dxa"/>
            <w:bottom w:w="0" w:type="dxa"/>
          </w:tblCellMar>
        </w:tblPrEx>
        <w:tc>
          <w:tcPr>
            <w:tcW w:w="10205" w:type="dxa"/>
            <w:shd w:val="clear" w:color="auto" w:fill="FFFFFF"/>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121E1D" w:rsidTr="00121E1D">
        <w:tblPrEx>
          <w:tblCellMar>
            <w:top w:w="0" w:type="dxa"/>
            <w:bottom w:w="0" w:type="dxa"/>
          </w:tblCellMar>
        </w:tblPrEx>
        <w:tc>
          <w:tcPr>
            <w:tcW w:w="10205" w:type="dxa"/>
            <w:shd w:val="clear" w:color="auto" w:fill="D2DCF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21E1D" w:rsidTr="00121E1D">
        <w:tblPrEx>
          <w:tblCellMar>
            <w:top w:w="0" w:type="dxa"/>
            <w:bottom w:w="0" w:type="dxa"/>
          </w:tblCellMar>
        </w:tblPrEx>
        <w:tc>
          <w:tcPr>
            <w:tcW w:w="10205" w:type="dxa"/>
            <w:shd w:val="clear" w:color="auto" w:fill="FFFFFF"/>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HenvendelseStruktur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(EFISagsbehandlerBegrundelse)</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(EFISagsbehandlerYderligereBegrundelse)</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(eTLAndelsIdentifikator)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AndelsboligAdministrator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EFIKundeIdentStruktur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(KFIAdresseStruktur)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(PersonNavnNavn)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KFIAktivAnpartStruktur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(AktivFastEjendomPrioritetRestgæld)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(AktivFastEjendomEjerAndel)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(AktivKøretøjTilgangDato)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(AktivKøretøjErBruger)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(AktivLøsøreBehæftelseType)</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(AktivOphævetPensionRegNummer)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(AktivOphævetPensionKontoNummer)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(AktivPlaceringLokation)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(AktivPrivatPensionRegNummer)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KFIAktivSikkerhedsstillelseStruktur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(AktivSimpelFordringRegNummer)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(UdlægBeløb)</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UdlægReferenceSamling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(AktivØvrigBeskrivelseUdlAktiv)</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KFIAlternativKontaktStruktur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AlternativKontaktID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AlternativKontaktGyldigFra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(AlternativKontaktGyldigTil)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AlternativKontaktOprettetAfFagsystem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(AlternativKontaktErstatningNummerStruktur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AlternativKontaktPersonNavnAdresseBeskyttelseMarkering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KFIPersonStamoplysningStruktur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r>
              <w:rPr>
                <w:rFonts w:ascii="Arial" w:hAnsi="Arial" w:cs="Arial"/>
                <w:sz w:val="18"/>
              </w:rPr>
              <w:tab/>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AdresseOplysninger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Folkeregisteradresse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KFIVirksomhedAdresseStruktur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KFIVirksomhedStamoplysningStruktur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VirksomhedNavnGyldigFra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(VirksomhedNavnGyldigTil)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MyndighedTilhørForholdGyldigFra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(MyndighedTilhørForholdGyldigTil)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PrimærAdresse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KFIVirksomhedAdresseStruktur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21E1D" w:rsidTr="00121E1D">
        <w:tblPrEx>
          <w:tblCellMar>
            <w:top w:w="0" w:type="dxa"/>
            <w:bottom w:w="0" w:type="dxa"/>
          </w:tblCellMar>
        </w:tblPrEx>
        <w:tc>
          <w:tcPr>
            <w:tcW w:w="10205" w:type="dxa"/>
            <w:shd w:val="clear" w:color="auto" w:fill="D2DCF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21E1D" w:rsidTr="00121E1D">
        <w:tblPrEx>
          <w:tblCellMar>
            <w:top w:w="0" w:type="dxa"/>
            <w:bottom w:w="0" w:type="dxa"/>
          </w:tblCellMar>
        </w:tblPrEx>
        <w:tc>
          <w:tcPr>
            <w:tcW w:w="10205" w:type="dxa"/>
            <w:shd w:val="clear" w:color="auto" w:fill="FFFFFF"/>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LåneUdgiftPostStruktur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(LåneUdgiftAnvendelse)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(LåneUdgiftKreditorNavn)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(LåneUdgiftStiftelseDato)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(LåneUdgiftUdløbDato)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(LåneUdgiftRegistreringNummer)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(LåneUdgiftKontoNummer)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KundeBudgetPostBeløb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SamleverBudgetPostBeløb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21E1D" w:rsidTr="00121E1D">
        <w:tblPrEx>
          <w:tblCellMar>
            <w:top w:w="0" w:type="dxa"/>
            <w:bottom w:w="0" w:type="dxa"/>
          </w:tblCellMar>
        </w:tblPrEx>
        <w:tc>
          <w:tcPr>
            <w:tcW w:w="10205" w:type="dxa"/>
            <w:shd w:val="clear" w:color="auto" w:fill="D2DCF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21E1D" w:rsidTr="00121E1D">
        <w:tblPrEx>
          <w:tblCellMar>
            <w:top w:w="0" w:type="dxa"/>
            <w:bottom w:w="0" w:type="dxa"/>
          </w:tblCellMar>
        </w:tblPrEx>
        <w:tc>
          <w:tcPr>
            <w:tcW w:w="10205" w:type="dxa"/>
            <w:shd w:val="clear" w:color="auto" w:fill="FFFFFF"/>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låne budgetpost kan være en post i et personbudget</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LåneUdgiftRestGældBeløbStruktur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(LåneUdgiftRestGældBeløbDKK)</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MFMeddelelseAfregnStruktur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MFUnderretAfregnStruktur</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MFMeddelelseAfskrivStruktur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MFUnderretAfskrivStruktur</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MFMeddelelseGrundStruktur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MFUnderretningDatoTid</w:t>
            </w:r>
          </w:p>
        </w:tc>
      </w:tr>
      <w:tr w:rsidR="00121E1D" w:rsidTr="00121E1D">
        <w:tblPrEx>
          <w:tblCellMar>
            <w:top w:w="0" w:type="dxa"/>
            <w:bottom w:w="0" w:type="dxa"/>
          </w:tblCellMar>
        </w:tblPrEx>
        <w:tc>
          <w:tcPr>
            <w:tcW w:w="10205" w:type="dxa"/>
            <w:shd w:val="clear" w:color="auto" w:fill="D2DCF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21E1D" w:rsidTr="00121E1D">
        <w:tblPrEx>
          <w:tblCellMar>
            <w:top w:w="0" w:type="dxa"/>
            <w:bottom w:w="0" w:type="dxa"/>
          </w:tblCellMar>
        </w:tblPrEx>
        <w:tc>
          <w:tcPr>
            <w:tcW w:w="10205" w:type="dxa"/>
            <w:shd w:val="clear" w:color="auto" w:fill="FFFFFF"/>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Grundstruktur for meddelser til fordringhavere og rettighedshavere. DMIFordringHaverID udfyldes altid på fordringer (DMIFordringFordringArtKode INDR, MODR, OPKR), men ikke altid på transporter (DMIFordringFordringArtKode=TRAN)</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MFMeddelelseKundeÆndringStruktur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MFUnderretKundeÆndringStruktur</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MFMeddelelseModregningStruktur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MFUnderretModregningStruktur</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MFMeddelelseNyFordringHaverStruktur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MFUnderretNyFordringHaverStruktur</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MFMeddelelseNyTransportAdministratorStruktur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MFUnderretNyTransportAdministratorStruktur</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MFMeddelelseRenteTilskrivningStruktur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MFUnderretRenteTilskrivningStruktur</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MFMeddelelseReturnerStruktur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MFUnderretReturnerStruktur</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MFUnderretAfregnStruktur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UdligningAfregningListe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UdligningAfregning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FordringHaverAfregningID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FordringHaverAfregningBeløbStruktur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FordringHaverAfregningPerFra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FordringHaverAfregningPerTil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FordringHaverFordringListe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FordringerOmfattetAfUdligningenAfregningen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(DMIUdbetalingReference)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SupplerendeIndbetalingOplysninger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DMIIndbetalingAktivitetType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(DMIIndbetalingAktivitetTekst)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MFUnderretAfskrivStruktur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DMIFordringAfskrivTilbagekald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TransaktionHæftelseFordringValg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MFUnderretKundeÆndringStruktur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KundeÆndringValg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CPRNummerSkift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NytCPRNummer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AKRNummerSkift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AlternativKontaktReferenceStrukturListe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AlternativKontaktReferenceStruktur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AlternativKontaktErstatningNummerStruktur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MyndighedUdbetalingTypeNavn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MFUnderretNyFordringHaverStruktur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FordringHæftelseListe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FordringHæftelse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GammelFordringHaver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(DMIFordringFordringHaverRef)</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21E1D" w:rsidTr="00121E1D">
        <w:tblPrEx>
          <w:tblCellMar>
            <w:top w:w="0" w:type="dxa"/>
            <w:bottom w:w="0" w:type="dxa"/>
          </w:tblCellMar>
        </w:tblPrEx>
        <w:tc>
          <w:tcPr>
            <w:tcW w:w="10205" w:type="dxa"/>
            <w:shd w:val="clear" w:color="auto" w:fill="D2DCF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21E1D" w:rsidTr="00121E1D">
        <w:tblPrEx>
          <w:tblCellMar>
            <w:top w:w="0" w:type="dxa"/>
            <w:bottom w:w="0" w:type="dxa"/>
          </w:tblCellMar>
        </w:tblPrEx>
        <w:tc>
          <w:tcPr>
            <w:tcW w:w="10205" w:type="dxa"/>
            <w:shd w:val="clear" w:color="auto" w:fill="FFFFFF"/>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fordringhaverskifte.</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MFUnderretNyTransportAdministratorStruktur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TransportRettighedshaverElementIndStruktur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GammelTransportAdministrator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21E1D" w:rsidTr="00121E1D">
        <w:tblPrEx>
          <w:tblCellMar>
            <w:top w:w="0" w:type="dxa"/>
            <w:bottom w:w="0" w:type="dxa"/>
          </w:tblCellMar>
        </w:tblPrEx>
        <w:tc>
          <w:tcPr>
            <w:tcW w:w="10205" w:type="dxa"/>
            <w:shd w:val="clear" w:color="auto" w:fill="D2DCF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21E1D" w:rsidTr="00121E1D">
        <w:tblPrEx>
          <w:tblCellMar>
            <w:top w:w="0" w:type="dxa"/>
            <w:bottom w:w="0" w:type="dxa"/>
          </w:tblCellMar>
        </w:tblPrEx>
        <w:tc>
          <w:tcPr>
            <w:tcW w:w="10205" w:type="dxa"/>
            <w:shd w:val="clear" w:color="auto" w:fill="FFFFFF"/>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transport administrator skifte.</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MFUnderretRenteTilskrivningStruktur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RentePeriodeType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RentePeriodeFraDato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RentePeriodeTilDato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RentePeriodeBeløbDKK</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RenteÅrTilDatoBeløbDKK</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MFUnderretReturnerStruktur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MFUnderretTransportOprettetStruktur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TransportRettighedHaver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TransportRettighedshaverElementIndStruktur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21E1D" w:rsidTr="00121E1D">
        <w:tblPrEx>
          <w:tblCellMar>
            <w:top w:w="0" w:type="dxa"/>
            <w:bottom w:w="0" w:type="dxa"/>
          </w:tblCellMar>
        </w:tblPrEx>
        <w:tc>
          <w:tcPr>
            <w:tcW w:w="10205" w:type="dxa"/>
            <w:shd w:val="clear" w:color="auto" w:fill="D2DCF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21E1D" w:rsidTr="00121E1D">
        <w:tblPrEx>
          <w:tblCellMar>
            <w:top w:w="0" w:type="dxa"/>
            <w:bottom w:w="0" w:type="dxa"/>
          </w:tblCellMar>
        </w:tblPrEx>
        <w:tc>
          <w:tcPr>
            <w:tcW w:w="10205" w:type="dxa"/>
            <w:shd w:val="clear" w:color="auto" w:fill="FFFFFF"/>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transport-oprettelse.</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MeddelelsePakkeBilagKundeMarkering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MeddelelsePakkeBilagSamarbejdspartnerMarkering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MeddelelsePakkeBilagKunderepræsentantMarkering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PersonBudgetPostStruktur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(*KundeBudgetPostBeloeb*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(*SamleverBudgetPostBeloeb*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PersonBudgetStruktur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EFIBudgetPostGældFørSamliv</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EFIBudgetPostÆgtefælleGæld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(EFIBudgetBeregningRegel)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(EFIBudgetModtagetDato)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(BudgetSumBeløbStruktur)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PersonBudgetPostListe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PersonBudgetPostStruktur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LåneUdgiftPostGruppeListe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LåneUdgiftPostStruktur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BørneBudgetListe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BørneBudgetStruktur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21E1D" w:rsidTr="00121E1D">
        <w:tblPrEx>
          <w:tblCellMar>
            <w:top w:w="0" w:type="dxa"/>
            <w:bottom w:w="0" w:type="dxa"/>
          </w:tblCellMar>
        </w:tblPrEx>
        <w:tc>
          <w:tcPr>
            <w:tcW w:w="10205" w:type="dxa"/>
            <w:shd w:val="clear" w:color="auto" w:fill="D2DCF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21E1D" w:rsidTr="00121E1D">
        <w:tblPrEx>
          <w:tblCellMar>
            <w:top w:w="0" w:type="dxa"/>
            <w:bottom w:w="0" w:type="dxa"/>
          </w:tblCellMar>
        </w:tblPrEx>
        <w:tc>
          <w:tcPr>
            <w:tcW w:w="10205" w:type="dxa"/>
            <w:shd w:val="clear" w:color="auto" w:fill="FFFFFF"/>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Budgettet for personkunder indeholdes i en PersonBudgetStruktur.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ikke oprettes børnebudgetter for AKP kunder.</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RenteGodtgørelseBeløbStruktur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(RenteGodtgørelseBeløbDKK)</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RenteGodtgørelseÅrsagStruktur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RenteGodtgørelseÅrsagBegr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(RenteGodtgørelseÅrsagTekst)</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121E1D" w:rsidTr="00121E1D">
        <w:tblPrEx>
          <w:tblCellMar>
            <w:top w:w="0" w:type="dxa"/>
            <w:bottom w:w="0" w:type="dxa"/>
          </w:tblCellMar>
        </w:tblPrEx>
        <w:tc>
          <w:tcPr>
            <w:tcW w:w="10205" w:type="dxa"/>
            <w:shd w:val="clear" w:color="auto" w:fill="D2DCF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21E1D" w:rsidTr="00121E1D">
        <w:tblPrEx>
          <w:tblCellMar>
            <w:top w:w="0" w:type="dxa"/>
            <w:bottom w:w="0" w:type="dxa"/>
          </w:tblCellMar>
        </w:tblPrEx>
        <w:tc>
          <w:tcPr>
            <w:tcW w:w="10205" w:type="dxa"/>
            <w:shd w:val="clear" w:color="auto" w:fill="FFFFFF"/>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SagsKundeStruktur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SagsKundeStrukturValg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KFIPersonStamoplysningStruktur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KFIVirksomhedStamoplysningStruktur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KFIAlternativKontaktStruktur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SamarbejdPartStruktur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SamarbejdPartType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SamarbejdPartNavn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IdentifikationsValg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StatstidendeDødsboMeddelelseStruktur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Afdød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StatstidendePersonKontekstStruktur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AfdødsVirksomhedListe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StatstidendeVirksomhedKontekstStruktur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AfdødÆgtefælle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(StatstidendePersonKontekstStruktur)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(StatstidendeVirksomhedKontekstStruktur)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KontaktPersonListe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StatstidendeKontaktPersonStruktur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(StatstidendeMeddelelseUdstedelseSted)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(StatstidendeMeddelelseUdstedelseDato)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(StatstidendeMeddelelseUnderskriver)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(StatstidendeMeddelelseLov69Markering)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(StatstidendeMeddelelseBemærkning)</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StatstidendeGældssaneringMeddelelseStruktur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DebitorSamling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StatstidendePersonKontekstStruktur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StatstidendeKonkursboMeddelelseStruktur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KonkursVirksomhedSamling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VirksomhedTypeValg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KonkursVirksomhed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StatstidendeVirksomhedKontekstStruktur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KonkursPerson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StatstidendePersonKontekstStruktur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StatstidendeKontaktPersonStruktur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(StatstidendePersonKontekstStruktur)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(StatstidendeMeddelelseMødeType)</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(StatstidendeMeddelelseMødeDatoTid)</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StatstidendeMeddelelseStruktur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StatstidendeMeddelelseType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(StatstidendeMeddelelsePreface)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(StatstidendeMeddelelseTekst)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(StatstidendeMeddelelseRetsKreds)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(StatstidendeMeddelelseRetsKredsSagNummer)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(StatstidendeMeddelelseProklamaDato)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(StatstidendeMeddelelseDekretDato)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StatstidendeMeddelelseValg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StatstidendeKonkursboMeddelelseStruktur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StatstidendeGældssaneringMeddelelseStruktur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StatstidendeDødsboMeddelelseStruktur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StatstidendeRekonstruktionMeddelelseStruktur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21E1D" w:rsidTr="00121E1D">
        <w:tblPrEx>
          <w:tblCellMar>
            <w:top w:w="0" w:type="dxa"/>
            <w:bottom w:w="0" w:type="dxa"/>
          </w:tblCellMar>
        </w:tblPrEx>
        <w:tc>
          <w:tcPr>
            <w:tcW w:w="10205" w:type="dxa"/>
            <w:shd w:val="clear" w:color="auto" w:fill="D2DCF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21E1D" w:rsidTr="00121E1D">
        <w:tblPrEx>
          <w:tblCellMar>
            <w:top w:w="0" w:type="dxa"/>
            <w:bottom w:w="0" w:type="dxa"/>
          </w:tblCellMar>
        </w:tblPrEx>
        <w:tc>
          <w:tcPr>
            <w:tcW w:w="10205" w:type="dxa"/>
            <w:shd w:val="clear" w:color="auto" w:fill="FFFFFF"/>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og understrukturene anvendes også i EFI.</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StatstidendePersonKontekstStruktur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StatstidendePersonStruktur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(StatstidendeMeddelelseSagNr)</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StatstidendePersonStruktur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(PersonFødselDato)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TidligereNavn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[PersonNavnNavn]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EfternavnVedFødsel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[PersonNavnEfterNavn]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(CivilstandDødDato)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(FaxNummer)</w:t>
            </w:r>
          </w:p>
        </w:tc>
      </w:tr>
      <w:tr w:rsidR="00121E1D" w:rsidTr="00121E1D">
        <w:tblPrEx>
          <w:tblCellMar>
            <w:top w:w="0" w:type="dxa"/>
            <w:bottom w:w="0" w:type="dxa"/>
          </w:tblCellMar>
        </w:tblPrEx>
        <w:tc>
          <w:tcPr>
            <w:tcW w:w="10205" w:type="dxa"/>
            <w:shd w:val="clear" w:color="auto" w:fill="D2DCF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21E1D" w:rsidTr="00121E1D">
        <w:tblPrEx>
          <w:tblCellMar>
            <w:top w:w="0" w:type="dxa"/>
            <w:bottom w:w="0" w:type="dxa"/>
          </w:tblCellMar>
        </w:tblPrEx>
        <w:tc>
          <w:tcPr>
            <w:tcW w:w="10205" w:type="dxa"/>
            <w:shd w:val="clear" w:color="auto" w:fill="FFFFFF"/>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strukturen vedrører kunder, så garanterer SKAT Statstidende at elementet PersonCPRNummer er udfyldt.</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strukturen omhandler en kontaktperson, så leverer SKAT Statstidende ikke kontaktpersonens personnummer.</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StatstidendeRekonstruktionMeddelelseStruktur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Kontakt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KundeRepræsentant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StatstidendePersonStruktur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StatstidendeMeddelelseKontaktTekst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StatstidendeMeddelelseRetsKreds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DebitorSamling *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StatstidendeVirksomhedKontekstStruktur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StatstidendeVirksomhedKontekstStruktur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(StatstidendeVirksomhedStruktur)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(StatstidendeMeddelelseSagNr)</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StatstidendeVirksomhedStruktur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(StatstidendeMeddelelseRegistreringNummer)</w:t>
            </w:r>
          </w:p>
        </w:tc>
      </w:tr>
      <w:tr w:rsidR="00121E1D" w:rsidTr="00121E1D">
        <w:tblPrEx>
          <w:tblCellMar>
            <w:top w:w="0" w:type="dxa"/>
            <w:bottom w:w="0" w:type="dxa"/>
          </w:tblCellMar>
        </w:tblPrEx>
        <w:tc>
          <w:tcPr>
            <w:tcW w:w="10205" w:type="dxa"/>
            <w:shd w:val="clear" w:color="auto" w:fill="D2DCF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21E1D" w:rsidTr="00121E1D">
        <w:tblPrEx>
          <w:tblCellMar>
            <w:top w:w="0" w:type="dxa"/>
            <w:bottom w:w="0" w:type="dxa"/>
          </w:tblCellMar>
        </w:tblPrEx>
        <w:tc>
          <w:tcPr>
            <w:tcW w:w="10205" w:type="dxa"/>
            <w:shd w:val="clear" w:color="auto" w:fill="FFFFFF"/>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Statstidende garanterer, at mindst et af de 4 optionelle elementer er udfyldt.</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UdlægSagsbehandlerStruktur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tc>
      </w:tr>
      <w:tr w:rsidR="00121E1D" w:rsidTr="00121E1D">
        <w:tblPrEx>
          <w:tblCellMar>
            <w:top w:w="0" w:type="dxa"/>
            <w:bottom w:w="0" w:type="dxa"/>
          </w:tblCellMar>
        </w:tblPrEx>
        <w:tc>
          <w:tcPr>
            <w:tcW w:w="10205" w:type="dxa"/>
            <w:shd w:val="clear" w:color="auto" w:fill="D2DCF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21E1D" w:rsidTr="00121E1D">
        <w:tblPrEx>
          <w:tblCellMar>
            <w:top w:w="0" w:type="dxa"/>
            <w:bottom w:w="0" w:type="dxa"/>
          </w:tblCellMar>
        </w:tblPrEx>
        <w:tc>
          <w:tcPr>
            <w:tcW w:w="10205" w:type="dxa"/>
            <w:shd w:val="clear" w:color="auto" w:fill="FFFFFF"/>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der udtrykker sagsbehandleren ved navn og eventuelt ressource id</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1E1D" w:rsidTr="00121E1D">
        <w:tblPrEx>
          <w:tblCellMar>
            <w:top w:w="0" w:type="dxa"/>
            <w:bottom w:w="0" w:type="dxa"/>
          </w:tblCellMar>
        </w:tblPrEx>
        <w:trPr>
          <w:trHeight w:hRule="exact" w:val="113"/>
        </w:trPr>
        <w:tc>
          <w:tcPr>
            <w:tcW w:w="10205" w:type="dxa"/>
            <w:shd w:val="clear" w:color="auto" w:fill="D2DCF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1E1D" w:rsidTr="00121E1D">
        <w:tblPrEx>
          <w:tblCellMar>
            <w:top w:w="0" w:type="dxa"/>
            <w:bottom w:w="0" w:type="dxa"/>
          </w:tblCellMar>
        </w:tblPrEx>
        <w:tc>
          <w:tcPr>
            <w:tcW w:w="10205" w:type="dx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VirksomhedBudgetStruktur</w:t>
            </w:r>
          </w:p>
        </w:tc>
      </w:tr>
      <w:tr w:rsidR="00121E1D" w:rsidTr="00121E1D">
        <w:tblPrEx>
          <w:tblCellMar>
            <w:top w:w="0" w:type="dxa"/>
            <w:bottom w:w="0" w:type="dxa"/>
          </w:tblCellMar>
        </w:tblPrEx>
        <w:tc>
          <w:tcPr>
            <w:tcW w:w="10205" w:type="dxa"/>
            <w:vAlign w:val="center"/>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VirksomhedBudgetPostListe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VirksomhedBudgetPost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bl>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21E1D" w:rsidSect="00121E1D">
          <w:headerReference w:type="default" r:id="rId9"/>
          <w:pgSz w:w="11906" w:h="16838"/>
          <w:pgMar w:top="567" w:right="567" w:bottom="567" w:left="1134" w:header="283" w:footer="708" w:gutter="0"/>
          <w:cols w:space="708"/>
          <w:docGrid w:linePitch="360"/>
        </w:sect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21E1D" w:rsidTr="00121E1D">
        <w:tblPrEx>
          <w:tblCellMar>
            <w:top w:w="0" w:type="dxa"/>
            <w:bottom w:w="0" w:type="dxa"/>
          </w:tblCellMar>
        </w:tblPrEx>
        <w:trPr>
          <w:tblHeader/>
        </w:trPr>
        <w:tc>
          <w:tcPr>
            <w:tcW w:w="3401" w:type="dxa"/>
            <w:shd w:val="clear" w:color="auto" w:fill="D2DCF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 er en sum af udestående beløb på Inddrivelsesgebyrer for en fordring. Inddrivelsesgebyr er det samme som oprettelsesgebyret og tilskrives, hvis påkrævet, når DMI modtager fordringen fra MF.</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Det betyder at den del af gebyrerne der faktisk er betalt er fratrukket dette beløb. Beregnet beløb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AkkumuleretGebyrRestBeløbDKK</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i danske kroner (beregnet beløb).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gebyrerne der faktisk er betalt er fratrukket.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 er en sum af det udestående beløb på Inddrivelsesrenterne for en fordring. Eller også beskrevet som:</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Det betyder at de renter der faktisk er betalt er fratrukket dette beløb. Beregnet beløb.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AkkumuleretRenteRestBeløbDKK</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i danske kroner (beregnet beløb).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renter der faktisk er betalt er fratrukket.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AktivAnpartBeskrivelse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beskrivelse af anpart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AktivAnpartNummer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AktivAntal</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kundens aktiver af den pågældende aktivtype.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AktivBeskrivelse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aktivet.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Varelager: 14 l. mælk, 10 l. vodka osv.</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SENDT, KVITTERING, TILBAGEKALDT</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SENDT: Sendt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KVITTERING: Kvittering modtaget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TILBAGEKALDT: Tilbagekaldt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EFI, EKSTERN, TIDLIGERE_EKSTERN</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kilde til aktiv (manuelt oprettet i EFI, EKSTERN kilde som f.eks. R75)</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EKSTERN,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TIDLIGERE_EKSTERN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AktivKøretøjAfgangDato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AktivKøretøjErBruger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AktivKøretøjErEjer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AktivLøsøreBeskrivelse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 beløb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AktivOphævetPensionKontoNummer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lokalenr på lokation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AktivPlaceringLokation</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Solgt, Tilbage, Anden</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SKAT,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Auktionshus,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Flyttefirma,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Solgt,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 Tilbageleveret til kunden,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AktivPrivatPensionRegNummer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privat pension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AktivPrivatPensionType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Håndpant, SekundærHåndpant, AfhentetTilBortsalg, Rådighedsberøvet, Sikkerhedsstillelse, SkadesløsTransport, Arrest</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rettighedshaver, f.eks. en transporthaver i en transportsituation.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Ingen,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Håndpant,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SekundærHåndpant,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AfhentetTilBortsalg,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Rådighedsberøvet,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Sikkerhedsstillelse,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SkadesløsTransport,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Arrest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AktivSikkerhedsstillelseBeløb</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AktivSikkerhedsstillelseType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BoersNotObl, BankGar, KontInd, AndBetrSikk</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BoersNotObl: Børsnoterede obligationer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AktivSikkerhedsstillelseYderligereKommentarer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Ejerstatuskode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AktivSimpelFordringFakturaNummer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AktivSimpelFordringRenteIndtægt</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AktivVærdipapirBehæftelseType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AktivVærdipapirKontoNummer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AktivVærdipapirTypeKode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værdipapir.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AktivitetMødeDato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mødet.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AktivitetMødeTid</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Tiden for mødets afholdelse.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AlternativKontaktGyldigFra</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fra.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AlternativKontaktGyldigTil</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til.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AlternativKontaktOprettetAfFagsystem</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hvilket fagsystem i SKAT, som har oprettet den alternativ kontakt. Fx DMR eller EFI eller på sigt et tredje system.</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køn - enten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AndelsboligNummer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BetalingEvneBegrundelse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Udfyldes ikke af EFI</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BetalingEvneBeregnetAIndkomstDKK</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BetalingEvneBeregningGrundlagKode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E, L</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 = eIndkomst (måned og år eller periode, hvis udbetalingen ikke er månedlig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Årsopgørelse (år og opgørelsesnummer)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  =  Lønseddel (måned og år)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BetalingEvneNettoIndkPeriode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BetalingEvneSærligBegrundelse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en særlig begrundelse som sagsbehandleren skal udfylde, hvis SKAT vælger at anvende betalingsevnen beregnet efter budgetmodellen i stedet for beregningen foretaget efter skemamodellen.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BetalingEvneÅrsindkomstDKK</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 (Angivet i danske kroner)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BetalingOrdningAntalRater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rater, som aftalen består af. Det kan automatisk beregnes ud fra fordringsbeløbet, som er genstand for indsatsen, og ratebeløb.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BetalingOrdningBSAccept</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der skal sendes BS meddelelse med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BS meddelelse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BS meddelelse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BetalingOrdningRatefrekvens</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DAG, UGE, DAG3, UGE2, MND, KVT, KVT2, ÅRL</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mellem to rater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  Dagligt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Ugentligt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DAG3: 2 gange ugentligt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UGE2: Hver 14.dag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Månedligt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Kvartalsvis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KVT2: Halvårligt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ÅRL:  Årlig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BetalingRykkerAfsendtDato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afsendelse af betalingsrykker.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BetalingRykkerAnnulleretDato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annullering af afsendelse af betalingsrykkeren.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BetalingRykkerBeløb</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skyldige beløb der rykkes for. Det kan være en betalingsordning rate, en eller flere fordringer,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BetalingRykkerFristÆndrAntal</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gange en betalingsfrist er udskudt.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BetalingRykkerFristÆndrÅrsag</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foruddefineret årsag til at forlænge betalingsfristen.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BetalingRykkerGebyr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 der er tilskrevet betalingsrykkeren.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BetalingRykkerID</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definition af en betalingsrykker.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BetalingRykkerPåmindelseDato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et xx dage før sidste rettidige indbetalings dato (SRB) hvor påmindelse om betaling af en rykker skal sendes til kunden.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BetalingRykkerSRBDato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betalingsrykkeren.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BobehandlingKontaktID</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for en kontaktperson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BobehandlingKontaktNavn</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kontakt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BobehandlingKontaktNr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Kontakt nummer f.eks. CPR, SE, AKR eller andet.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BobehandlingKontaktRef</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linies tekst til f.eks journalnr, telefon nr, bemærkning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BudgetSumTotalBeløb</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budgettet i den indrapporterede valuta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BudgetSumTotalBeløbDKK</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budgettet i den indrapporterede valuta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BygningeTLNummer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er afsoning afsluttet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angives er afsoning påbegyndt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BødeforvandlingStrafAnmodningSendtDato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hvornår anmodningen er udsendt på bødeforvandlingstraf</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BødeforvandlingStrafForældelsesDato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hvornår bødeforvandlingstraf indsatsens fordring forælder.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angiver ny varselsfrist.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BødeforvandlingStrafVarselSendtDato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hvornår varsel er sendt på bødeforvandlingstraf</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BødeforvandlingStrafÅrsag</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årsagen til varsel, anmodning og korrektion på bødeforvandlingstraf</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BørneBudgetIndtægtSumBeløb</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indtægter af børnebudgetter i den indrapporterede valueta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BørneBudgetIndtægtSumBeløbDKK</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indtægter af børnebudgetter omregnet fra den indrapporterede valueta til danske krover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BørneBudgetSumTotalBeløb</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børnebudgetterne i den indrapporterede valuta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BørneBudgetSumTotalBeløbDKK</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børnebudgetterne omregnet til danske kroner fra  den indrapporterede valuta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BørneBudgetUdgiftSumBeløb</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udgifter af børnebudgetter i den indrapporterede valueta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BørneBudgetUdgiftSumBeløbDKK</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udgifter af børnebudgetter omregnet fra den indrapporterede valueta til danske krover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CivilstandDødDato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dødsdag. Oplyses via CPR/CSRP.</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DMIFordringAfskrivTilbagekald</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tilbagekald af tidligere afskrivning (identificeret med DMIFordringAfskrivID).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tilbagekald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nej, ny afskrivning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Dækningsbeløb i indbetalingens valuta.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fordringbeløb i den inddraporterede valuta.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DMIFordringValutaKode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Fx den som en angivelsen er indberettet i, hvis der er tale om en angivelsestype med beløb.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 nuværende tidspunkt kan SKAT kun modtage angivelser i danske kroner.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DMIHovedFordringEFIFordringID</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Som DMIFordringEFIFordringID.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reference til, så man kan relatere en hovedfordring til en summmeret fordring og underfordringer.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DMIIndbetalingAktivitetTekst</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generel beskrivelse den type aktivitet, som knytter sig til indbetalingen.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kunne være: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ved indbetaling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Ophævelse af dækning ved indbetaling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DMIIndbetalingAktivitetType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DÆKNING, DÆKNOPH, FORDKORR</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akttiviteten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 Fordring dækket med indbetaling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DÆKNOPH - Dækning for fordring ophævet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FORDKORR - Fordring korrigeret med mere end restsaldo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DMIUdbetalingReference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140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Refernce til den udbetaling der er foretaget til fordringhaveren. Del af posteringsteksten fra NemKonto udbetalingen.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DatoLøbeNummer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19</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dokument-alias bestående af dags dato og et løbenummer. F.eks. 20080304-1234567890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EFIBudgetBeregningRegel</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REGNEREGEL_1, REGNEREGEL_2, REGNEREGEL_3, REGNEREGEL_4, REGNEREGEL_5, REGNEREGEL_6, REGNEREGEL_7, REGNEREGEL_8, REGNEREGEL_9, REGNEREGEL_10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Anvendt budget beregningsregel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Anvendt budget beregningsregel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REGNEREGEL_1: Betalingsevnen er beregnet efter budgettet. Ægtefællen/samlever betaler ikke ydelser på gæld efter § 13 stk. 2</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REGNEREGEL_2: Betalingsevnen er beregnet efter budgettet. Ydelser på ægtefællens/samlevers gæld er medtaget i beregningen efter § 22.</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REGNEREGEL_3: Betalingsevnen er beregnet efter budgettet. Betalingsevnen er dog reduceret, da den ikke må overstige kundens nettoindkomst efter § 13 stk. 3</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REGNEREGEL_4: Betalingsevnen er beregnet efter budgettet.  Ydelser på ægtefællens/samlevers gæld er medtaget i beregningen, men reduceret efter § 13 stk. 6.</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REGNEREGEL_5: Betalingsevnen er beregnet efter budgettet. Det er alene kundens indtægter og udgifter, der er medtaget i beregningen efter § 13 stk. 4,1</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REGNEREGEL_6: Betalingsevnen er beregnet efter budgettet. Underskuddet på ægtefællens/samlevers budget er medtaget i beregningen, og reducerer kundens betalingsevne efter § 13 stk. 5,1.</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REGNEREGEL_7: Betalingsevnen er beregnet efter budgettet. Det er alene kundens indtægter og udgifter, der er medtaget i beregningen betalingsevne efter § 13 stk. 4,2.</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REGNEREGEL_8: Betalingsevnen er beregnet efter budgettet. Underskuddet på ægtefællens/samlevers budget er medtaget i beregningen, og reducerer kundens betalingsevne efter § 13 stk. 5,2.</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REGNEREGEL_9: Betalingsevnen er beregnet efter budgettet. Overskuddet på ægtefællens/samlevers budget er medtaget i beregningen, og øger kundens betalingsevene jf. § 13 stk. 5,2</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REGNEREGEL_10: Betalingsevnen er beregnet efter budgettet. Overskuddet på ægtefællens/samlevers budget er medtaget i beregningen, og øger kundens betalingsevne. Dog er betalingsevnen reduceret så den ikke overstiger kundens nettoindkomst med visse fradrag jf. § 13 stk. 5,2 og stk. 3</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EFIBudgetGyldigFraDato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EFIBudgetGyldigTilDato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EFIBudgetModtagetDato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EFIBudgetPostBeløb</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EFIBudgetPostBeløbDKK</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EFIBudgetPostBeskrivelse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en budgetpost. Beskrivelsen kan f.eks. anvendes til at beskrive øvrige budgetposter indenfor den samme budgetpostgruppe.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EFIBudgetPostDokumenteret</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sagsbehandler har afgjort at der findes dokumentation for budgetposten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EFIBudgetPostErØvrigePostMarkering</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Sand er budgetposten af typen Øvrige inden for den givne budgetpostgruppe. Markeringen giver en portal mulighed for at vise indholdet af feltet EFIBudgetPostBeskrivelse i stedet for en DAP tekst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EFIBudgetPostErØvrigePostStatus</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 FREM, UDLOEB</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Dokumentation: Gyldighedsmarkering for en tilføjet budget. Angiver hvorvidt posten er bliver aktiv i fremtiden, er aktiv nu eller udløbet.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 Posten er gyldig om medtages i budgetberegningen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FREM: Posten bliver gyldig og medtages i budgetberegningen fra EFIBudgetPostGyldigFraDato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UDLOEB: Posten er ikke længere gyldig og medtages ikke  i budgetberegningen fordi EFIBudgetPostGyldigTilDato er overskredet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EFIBudgetPostGruppeKode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BEFORDRINGSOGLIGNENDEUDGIFTER, BOLIGUDGIFTER, BOERNEINDTAEGTER, BOERNEUDGIFTER, INDTAEGTER, ANDREUDGIFTER, OEVRIGEUDGIFTER, RAADIGHEDUDGIFTER, VIRKSOMHEDER</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Budgetposter kan samles i grupper f.eks. til visning i portalen eller i papirudgaver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BEFORDRINGSOGLIGNENDEUDGIFTER,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BOERNEINDTAEGTER,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INDTAEGTER,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BEFORDRINGSOGLIGNENDEUDGIFTER,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BOERNEINDTAEGTER,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INDTAEGTER,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EFIBudgetPostGyldigFraDato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EFIBudgetPostGyldigTilDato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EFIBudgetPostGældFørSamliv</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udgiftsbudgetpost er stiftet før samliv mellem parterne. Markeringen angiver om posten evt. skal fratrækkes et beløb, før den kan indregnes i budgettet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EFIBudgetPostID</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budgetpost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EFIBudgetPostKundeBegrundelse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EFIBudgetPostRedigerbar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feltet skal være redigerbart i portalerne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EFIBudgetPostSagsbehandlerBegrundelse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EFIBudgetPostSamleverBegrundelse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EFIBudgetPostSidstRedigeretAf</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EFIBudgetPostSidstRedigeretAfRolle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af den bruger, der sidst har redigeret budgetposten. Hentes fra Ændr requestet eller sættes til en passende systembruger, når ændringen sker pga. en hændelse, f.eks. BFY eller NIB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EFIBudgetPostSorteringRækkefølge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sorteringsorden indenfor en budgetpostgruppe til visning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EFIBudgetPostStatusKode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GODKENDT, IKKEGODKENDT, DELVISGODKENDT, AFVIST, UDLØBET</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en given budgetpost.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Posten er godkendt af en sagsbehandler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IKKEGODKENDT - Posten er endnu ikke behandlet af en sagsbehandler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 Posten er godkendt af en sagsbehandler, der har rettet kundens  indtastning. Posten medtages i betalingsevneberegningen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Posten er afvist af en sagsbehandler. Posten medtages ikke i betalingsevneberegningen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UDLØBET - EFIBudgetPostGyldigTilDato er passeret. Posten medtages ikke i betalingsevneberegningen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Posten er godkendt af en sagsbehandler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IKKEGODKENDT - Posten er endnu ikke behandlet af en sagsbehandler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 Posten er godkendt af en sagsbehandler, der har rettet kundens  indtastning. Posten medtages i betalingsevneberegningen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Posten er afvist af en sagsbehandler. Posten medtages ikke i betalingsevneberegningen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UDLØBET - EFIBudgetPostGyldigTilDato er passeret. Posten medtages ikke i betalingsevneberegningen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EFIBudgetPostTypeKode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RAADIGHEDBELOEBBARN, NETTOINDKOMSTAUTOMATISK, NETTOINDKOMSTSAGBEHINDT, NETTOUDBETALINGEREJINETTOINDK, NETTOUDBETALINGERERSTATNINGER, BOLIGSIKRINGBOLIGYDELSE, VARMETILSKUDMV, OEVRIGEINDTAEGTER, UDGIFTERTILTRANSPORT, FAGFORENINGAKASSE, BIDRAGTILTROSSAMFUND, HUSLEJE, PRIORITETSYDELSE, FAELLESUDGIFTERVEDREJENDOM, RENOVATION, EJENDOMSSKAT, EL, GAS, VAND, VARME, BYGNINGSOGBRANDFORSIKRING, OEVRIGEUDGIFTERBOLIG, AEGTEFAELLEBIDRAG, BOERNEBIDRAGANDREUDGIFTER, UDGIFTERTILBOERNSSAMVAER, SAMVAERSUDGIFTERBOERN, NETTOUDGIFTSAERLIGEBEHOV, OEVRIGEUDGIFTERANDRE, YDELSEPAAAEGTEFAELLESGAELD, YDELSEPAAANDENGAELD, BOERNEOGUNGEYDELSE, BOERNETILSKUD, BOERNEBIDRAG, PASNING, UDGIFTERTILSAERLIGEBEHOV, OEVRIGEUDGIFTERBOERN, BETALINGSEVNE, UDGIFTERTILTRANSPORTFRADRAG, RAADIGHEDBELOEBVOKSEN, OEVRIGEUDGIFTERBEFORDRING, YDELSEPAAGAELDREDUKTION, OEVRIGEINDTAEGTERBOERN</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en budgetpost. Budgetposttyper kan inddeles i budgetpostgrupper. Budgetpostgruppen af en given typen er anført i parantes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RAADIGHEDBELOEBBARN(UDGIFT)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NETTOINDKOMSTAUTOMATISK (INDTAEGTER)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NETTOUDBETALINGEREJINETTOINDK (INDTAEGTER)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NETTOUDBETALINGERERSTATNINGER (INDTAEGTER)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BOLIGSIKRINGBOLIGYDELSE (BOLIGUDGIFTER)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VARMETILSKUDMV (BOLIGUDGIFTER)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OEVRIGEINDTAEGTER (INDTAEGTER)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 (BEFORDRINGSOGLIGNENDEUDGIFTER)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FAGFORENINGAKASSE (BEFORDRINGSOGLIGNENDEUDGIFTER)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BIDRAGTILTROSSAMFUND (BEFORDRINGSOGLIGNENDEUDGIFTER)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HUSLEJE (BOLIGUDGIFTER)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PRIORITETSYDELSE (BOLIGUDGIFTER)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FAELLESUDGIFTERVEDREJENDOM (BOLIGUDGIFTER)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RENOVATION (BOLIGUDGIFTER)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EJENDOMSSKAT (BOLIGUDGIFTER)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 (BOLIGUDGIFTER)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GAS (BOLIGUDGIFTER)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VAND (BOLIGUDGIFTER)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 (BOLIGUDGIFTER)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BYGNINGSOGBRANDFORSIKRING (BOLIGUDGIFTER)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OEVRIGEUDGIFTERBOLIG (BOLIGUDGIFTER)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AEGTEFAELLEBIDRAG (ANDREUDGIFTER)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BOERNEBIDRAGANDREUDGIFTER (ANDREUDGIFTER)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UDGIFTERTILBOERNSSAMVAER (ANDREUDGIFTER)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SAMVAERSUDGIFTERBOERN (ANDREUDGIFTER)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NETTOUDGIFTSAERLIGEBEHOV (ANDREUDGIFTER)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OEVRIGEUDGIFTERANDRE (ANDREUDGIFTER)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YDELSEPAAAEGTEFAELLESGAELD (OEVRIGEUDGIFTER)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YDELSEPAAANDENGAELD (OEVRIGEUDGIFTER)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BOERNEOGUNGEYDELSE (BOERNEINDTAEGTER)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BOERNETILSKUD (BOERNEINDTAEGTER)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 (BOERNEINDTAEGTER)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PASNING (BOERNEUDGIFTER)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UDGIFTERTILSAERLIGEBEHOV (BOERNEUDGIFTER)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OEVRIGEUDGIFTERBOERN (BOERNEUDGIFTER)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BETALINGSEVNEVIRKSOMHED (VIRKSOMHED)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UDGIFTERTILTRANSPORTFRADRAG(BEFORDRINGSOGLIGNENDEUDGIFTER)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OEVRIGEUDGIFTERBEFORDRING(BEFORDRINGSOGLIGNENDEUDGIFTER)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YDELSEPAAGAELDREDUKTION(OEVRIGEUDGIFTER)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RAADIGHEDBELOEBVOKSEN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RÅDIGHEDBELØBBARN(UDGIFT)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NETTOINDKOMSTAUTOMATISK (INDTAEGTER)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NETTOINDKOMSTSAGBEHINDT(INDTAEGTER)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NETTOINDKOMSTSAGSBEHANDLER (INDTAEGTER)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NETTOUDBETALINGEREJINETTOINDK (INDTAEGTER)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NETTOUDBETALINGERERSTATNINGER (INDTAEGTER)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BOLIGSIKRINGBOLIGYDELSE (BOLIGUDGIFTER)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VARMETILSKUDMV (BOLIGUDGIFTER)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OEVRIGEINDTAEGTER (INDTAEGTER)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 (BEFORDRINGSOGLIGNENDEUDGIFTER)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FAGFORENINGAKASSE (BEFORDRINGSOGLIGNENDEUDGIFTER)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BIDRAGTILTROSSAMFUND (BEFORDRINGSOGLIGNENDEUDGIFTER)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HUSLEJE (BOLIGUDGIFTER)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PRIORITETSYDELSE (BOLIGUDGIFTER)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FAELLESUDGIFTERVEDREJENDOM (BOLIGUDGIFTER)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RENOVATION (BOLIGUDGIFTER)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EJENDOMSSKAT (BOLIGUDGIFTER)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 (BOLIGUDGIFTER)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GAS (BOLIGUDGIFTER)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VAND (BOLIGUDGIFTER)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 (BOLIGUDGIFTER)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BYGNINGSOGBRANDFORSIKRING (BOLIGUDGIFTER)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OEVRIGEUDGIFTERBOLIG (BOLIGUDGIFTER)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AEGTEFAELLEBIDRAG (ANDREUDGIFTER)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BOERNEBIDRAGANDREUDGIFTER (ANDREUDGIFTER)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UDGIFTERTILBOERNSSAMVAER (ANDREUDGIFTER)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SAMVAERSUDGIFTERBOERN (ANDREUDGIFTER)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NETTOUDGIFTSAERLIGEBEHOV (ANDREUDGIFTER)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OEVRIGEUDGIFTERANDRE (ANDREUDGIFTER)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YDELSEPAAAEGTEFAELLESGAELD (OEVRIGEUDGIFTER)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YDELSEPAAANDENGAELD (OEVRIGEUDGIFTER)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BOERNEOGUNGEYDELSE (BOERNEINDTAEGTER)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BOERNETILSKUD (BOERNEINDTAEGTER)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 (BOERNEINDTAEGTER)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PASNING (BOERNEUDGIFTER)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UDGIFTERTILSAERLIGEBEHOV (BOERNEUDGIFTER)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OEVRIGEUDGIFTERBOERN (BOERNEUDGIFTER)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BETALINGSEVNEVIRKSOMHED (VIRKSOMHED)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EFIBudgetPostÆgtefælleGæld</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hvorvidt der er truffet afgørelse om eftergivelse, eller der samtidig er afsagt gældssaneringskendelse vedr. kunden ægtefælle, eller ægtefællen afdrager offentlig gæld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EFIBudgetReturDato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EFIBudgetSidstGodkendtAf</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Angivelse af hvilken aktør, der manuelt har godkendt den sidste version af budgettet. Et budget kan være godkendt af kunden eller en sagsbehandler.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opdateret af kunden med værdier indenfor toleranceværdierne, er budgettet godkendt af kunden, og elementet indeholder strengen ”Kunde”.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godkendt af en sagbehandler, indeholder elementet sagsbehandlerens medarbejdernummer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EFIBudgetSidstGodkendtDato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den sidste godkendelse af en sagsbehandler eller kunden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EFIBudgetSidstRedigeretAf</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aktør, der sidst har redigeret budgettet. Et budget kan være redigeret af kunden, en sagsbehandler eller opdateret automatisk.</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redigeret af kunden, indeholder elementet strengen ”Kunde”.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redigeret af en sagsbehandler, indeholder elementet sagsbehandlerens medarbejdernummer.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eller flere budgetposter er opdateret automatisk, indeholder elementet betegnelsen for aktøren, dvs, en af følgende værdier: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’NIB’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’Forsøgerberegning’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EFIBudgetSidstRedigeretAfRolle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af den bruger, der sidst har redigeret budgettet. Hentes fra Ændr requestet eller sættes til en passende systembruger, når ændringen sker pga. en hændelse, f.eks. BFY eller NIB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den sidste ændring af budgettet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EFIBudgetStatusKode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GODKENDT, DELVISTGODKENDT, UNDERTRYKT, UDLØBET, AFVIST, KLADDEGODKEND, KLADDE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Budgettet er godkendt af en sagsbehandler, og der beregnes betalingseven efter det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Budgettet er godkendt af en sagsbehandler, der har rettet i kundens indtastninger.Der beregnes betalingseven efter det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UNDERTRYKT - Budgetter er undertrykt af en sagsbehandler. Der beregnes ikke betalingsevne efter det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UDLØBET - Godkendelsesperioden for budgettet er udløb. Der beregnes ikke betalingsevne efter budgettet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Sagsbehandleren har afvist kundens budget. Der beregnes ikke betalingsevne efter budgettet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KLADDEGODKEND - Når kunden opretter eller redigerer i kladden, og denne skal enten godkendes af en sagsbehandler eller autogodkendes af betalingsevneberegningen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 - Når sagsbehandleren, kunde eller systemet opretter eller redigerer kladden uden at godkend, sættes status til denne værdi</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EFIBudgetTypeKode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AKPBUDGET, CPRBUDGET, VIRKSOMHEDBUDGET</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budgttet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AKPBUDGET – Personkunde i det alternative kontaktregister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CPRBUDGET – Personkunde i CPR registeret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VIRKSOMHEDBUDGET – Virksomhedskunde i ES eller det alternative kontaktregister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AKPBUDGET - Personkunde i det alternative kontaktregister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CPRBUDGET - Personkunde i CPR registeret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VIRKSOMHEDBUDGET - Virksomhedskunde i ES eller det alternative kontaktregister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EFIBudgetÆgtefælleCPRNummer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 nummer på kundens ægtefælle eller samlever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EFIEnkeltIndbetalingBeløb</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indtastes ud for den enkelte fordring, for at indikere at der er foretaget en fordeling af en indbetaling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EFIFordringFratrukketBeløb</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er fratrukket fordringsbeløbet i udlægsguidens trin 2</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EFIHENAfgørelseDato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for henstand (sidste dato der er sendt meddelelse ang. fordringer).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EFIKundeFristDato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 kundefrist dato for en indsats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EFILønAfdragProcent</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EFILønAfgørelseDatoForIgangværende</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EFILønBudget</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Tekststreng med maks. 100 alfanumeriske tegn.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EFILønEindkomstMånedÅr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Tekststreng med maks. 100 alfanumeriske tegn.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EFILønIndeholdelseBegrTekst</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EFILønIværksatProcent</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EFILønJusteretProcent</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EFILønPeriodeManglendeLønoplysning</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som kan indeholde op til 80 alfanummeriske tegn (karakterer).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EFILønReduceretProcent</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EFILønVarselDato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EFILønseddelMånedÅr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Tekststreng med maks. 100 alfanumeriske tegn.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EFILønÅrsopgørelseÅrNummer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Tekststreng med maks. 100 alfanumeriske tegn.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EFISagsbehandlerBegrundelse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Sagsbehandlerens begrundelse ved behandlingen af henvendelsen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EFISagsbehandlerYderligereBegrundelse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begrundelse ved behandlingen af henvendelsen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EFIVersionNummer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Version af datastruktur. Bruges til optimistisk låsning, dvs. at ved gem af datastruktur fra portal testes at VersionNummer er uændret siden hent.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EjendomAnpartNummer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ved anpart og ved anpart i bygning på lejet grund og bygning på lejet grund opdelt i anparter.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EjerlavKode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talkode for ejerlav i Danmark.</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EjerlavNavn</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fortløbende nummerering af ejerlejligheder inden for en hovedejendom.</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ErkendelseDato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kunden erkendte sine fordringer, eller sagsbehandler erkendte fordringerne på kundens vegne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ErkendelseFristDato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fritstdato (dato inklusiv), som kunden senest skal erkende sine fordringer, før SKAT tager yderligere forældelsesafbrydende skridt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FaxNummer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faxnummer som opfylder gyldige formater for danske og udenlandske telefonnumre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FordringAfregningBeløbDKK</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 i danske kroner.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i den valgte valuta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FordringHaverAfregningBeløbDKK</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omregnet til danske kroner.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afregningen til fordringshaver er oprettet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FordringHaverAfregningID</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afregningen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FordringHaverAfregningPerFra</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FordringHaverAfregningPeriodeFraDato er pr. definition altid én dag efter sidste FordringHaverAfregningDato.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FordringHaverAfrPeriodeFra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FordringHaverAfregningPerTil</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PerTil er = med FordringHaverAfregningsdato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FordringHaverAfregningUnderret</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 AFR</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oplyser om underretningen er en udligning eller en afregning.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FordringHaverAfrUnderret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GebyrBeløb</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Gebyrbeløb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HovedfordringSumRestBeløbDKK</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HovedfordringSumRestBeløbDKK er den enkelte hovedfodrings restgæld eksklusiv renter og gebyrer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InddrivelseRenteDelPeriodeFra</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IndtægtPostSumBeløb</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evt. samlevers indtægtsposter i den indrapporterede valuta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IndtægtPostSumBeløbDKK</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evt samlevers indtægtsposter om fra den indrapporterede valuta til danske kroner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KOBIndberetningUdløbDato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hvornår en indberetning udløber.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udsendelse af varsel om en indberetning til KOB.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KaldVarselFordringFragsagtOpkrRenteogGebyrBeløbDKK</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på frafald af kald og varsel på fordring/opkrævningsrenter/opkrævningsgebyr for en fordring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KaldVarselFordringFrasagt</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Kunden har frasagt sig kald og varsel på denne fordring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Kunden har ikke frasagt sig kald og varsel på denne fordring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KaldVarselFragsagtInddrivelsesrenteBeløbDKK</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på frafald af kald og varsel på inddrivelsesrente for en fordring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KlageSagFremstilling</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KundePostSumBeløb</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KundePostSumBeløbDKK</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LovTekst</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LåneUdgiftAnvendelse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et lån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LåneUdgiftKontoNummer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Angivelsen af et kontonummer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LåneUdgiftKreditorNavn</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kreditoren til lånet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LåneUdgiftRegistreringNummer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registreringsnummer for et lån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LåneUdgiftRestGældBeløb</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LåneUdgiftRestGældBeløbDKK</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LåneUdgiftStiftelseDato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LåneUdgiftUdløbDato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MFOpgaveAfvisÅrsagBegr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opgave er afvist.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MFOpgaveAfvisÅrsagKode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TRANSPORTDOK, AFSKRIV, AKRIKKEFUNDET, ANDEN</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afvisning af opgave. Ved valg af årsagskode anden skal felt Anden tekst udfyldes med forklaring af, hvorfor de øvrige årsager ikke er anvendelige.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TRANSPORTDOK: Ugyldigt transportdokument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Afskrivning ikke godkendt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AKRIKKEFUNDET: Ikke nok information til identifikation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 Anden årsag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MFOpgaveAfvisÅrsagTekst</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MFUnderretningDatoTid</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MatrikelNummer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udenlandsk valuta angivet som decimaltal, fx. 1500,00 , som anvendes i udenlandske opkrævninger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MeddelelsePakkeBilagKundeMarkering</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MeddelelsePakkeBilagKunderepræsentantMarkering</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kunderepræsentant?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MeddelelsePakkeBilagSamarbejdspartnerMarkering</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samarbejdspartner?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MyndighedTilhørForholdGyldigFra</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MyndighedTilhørForholdGyldigTil</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ikke kundens dispositionsdato).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MyndighedUdbetalingSpecKonto</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BankAccountStructure er tom anvendes teksten 'NemKonto' i stedet.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MyndighedUdbetalingTypeNavn</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DMIs myndighedudbetalingstype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OmfattetFordringFratrukketIndbetalingSumDKK</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beløb, hvor der er fratrukket indbetalinger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OmfattetFordringSumDKK</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OmfattetFordringSumDKK er summen af restgælden inklusiv renter og gebyrer på de fordringer indsatsen omfatter.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OpgørelseDato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Opgørelsesdato for historiske saldi for fordringerne omfattet af indsatsen.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PersonFødselDato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fødselsdato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PersonNavnEfterNavn</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Stammer fra CPS og udenlandsk pension.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PolitiEftersøgningDato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PolitiFremstillingDato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PostGruppeSumBeløb</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samleverens poster i den pågældende gruppe beregnet efter reglerne for postgruppen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PostGruppeSumBeløbDKK</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samleverens poster i den pågældende gruppe i danske kroner beregnet efter reglerne for postgruppen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som leveres til sagsbehand-ler.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RenteGodtgørelseBeløbDKK</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i danske kroner, som leveres til sagsbehand-ler.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RenteGodtgørelseBeregnBeløb</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sagsbehandler indtaster til brug for beregning af en rentegodtgørelse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RenteGodtgørelseBeregnBeløbDKK</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sagsbehandler indtaster i danske kroner til brug for beregning af en rentegodtgørelse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RenteGodtgørelseDelPeriodeBlb</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 for en del af den samlede periode. Skal bruges til at flette i meddelelse for kunde, hvis rentegodtgørelsen er be-regnet over flere renteperioder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RenteGodtgørelseDelPeriodeBlbDKK</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 i danske kroner for en del af den samlede periode. Skal bruges til at flette i meddelelse for kunde, hvis rentegodtgørelsen er be-regnet over flere renteperioder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RenteGodtgørelseDelPeriodeFra</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en sats er gyldig. Skal anvendes hvis der er flere satser inden for den samlede periode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RenteGodtgørelseDelPeriodeTil</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en sats er gyldig. Skal anvendes hvis der er flere satser inden for den samlede periode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RenteGodtgørelsePeriodeFra</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fra = første rentedag.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RenteGodtgørelsePeriodeTil</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til = sidste rentedag.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RenteGodtgørelseRefRenteSats</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Referencesatsen er den officielle udlånsrente, der fastsættes af Nationalbanken pr. 1.januar og 1.juli. Benyttes ved godtgørelse efter renteloven.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RenteGodtgørelseSumRenteSats</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samlede rentesats som danner grundlag for renteberegningen.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RenteGodtgørelseType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GOOVSK, GORENT</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af rentegørelse der skal beregnes.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GOOVSK: Godtgørelse for udbetaling af overskydende skat efter 1/10 i efterfølgende indkomstår (kildeskattelovens §62</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GORENT: Godtgørelse jf. renteloven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RenteGodtgørelseÅrsagBegr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skal angive begrundelse for beregning af rentegodtgørelse.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RenteGodtgørelseÅrsagKode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URTI, URID, SUOS, SUNM, AND</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til angivekse af årsag for rentegodtgørelse.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RenteGodtgørelseÅrsagTekst</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den angivne valuta.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RentePeriodeBeløbDKK</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danske kroner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RentePeriodeFraDato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datoen for den periode som renten vedrører.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RentePeriodeTilDato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datoen for den periode som renten vedrører.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RentePeriodeType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den angivne valuta.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RenteÅrTilDatoBeløbDKK</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danske kroner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ResultatTilBudgetSumBeløb</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resultat af beregningen af et børnebudget, der medtages i kundens budgetberegning. Når kundens udgifter til et barn overstiger indtægterne, indgår beløbet som en udgift i kundens budget.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ResultatTilBudgetSumBeløbDKK</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resultati danske kroner af beregningen af et børnebudget, der medtages i kundens budgetberegning. Når kundens udgifter til et barn overstiger indtægterne, indgår beløbet i danske kroner som en udgift i kundens budget.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SLønIndeholdelseBeløbDKK</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SaldoPerDato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en SaldoPerDato tilbage i tid, vil fordringer modtaget efter den angivne dato ikke blive vist, og saldo på fordringer afspejler de dækninger og transaktioner der var til stede på det angivne tidspunkt.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SamarbejdPartNavn</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Navnet på samarbejdsparten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Restanceinddrivelsesmyndigheden: Det er f.eks. Søfartsstyrelsen, Statens Luftfartsvæsen og Lønmodtagernes Garantifond.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SamarbejdPartType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samarbejdspart.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Stævningsmand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Politikreds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Statens Lufthavnsvæsen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Fogedret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Auktionshuse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 Advokat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Kammeradvokat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 myndighed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Udstedende myndighed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Landsskatteretten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Danmarks statistik</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Låsesmed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 og handelsretten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Byretten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Vognmænd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Justitsministeriet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SamleverPostSumBeløb</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SamleverPostSumBeløbDKK</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SendDato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SkattecenterNavn</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StatstidendeMeddelelseBemærkning</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ekstra kommentarfelt der benyttes ifm. Dødsbo-meddelelser.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StatstidendeMeddelelseDekretDato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dekret.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kun udfyldt såfremt meddelelsen er et dekret.)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StatstidendeMeddelelseKontaktTekst</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kommentarfelt der er relateret til oplysninger om en kontaktperson.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for Rekonstruktions-meddelelser.)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StatstidendeMeddelelseLov69Markering</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ved Dødsbo-meddelelser og angiver om dødsboet er omfattet af skiftelovens § 69.</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StatstidendeMeddelelseMødeDatoTid</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et afholdt møde ifm. behandling af dødsbo.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indgår kun i dødsbo-meddelelser.)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(Svarer indholdsmæssigt til XML Schema-typen dateTime.)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StatstidendeMeddelelseMødeType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Mødetype for et møde relateret til et dødsbo.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optræder kun i Dødsbo-meddelelser.)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Prøvelse af fordringer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Afsluttende bomøde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bomøder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StatstidendeMeddelelseNummer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 fra Statstidende.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StatstidendeMeddelelsePreface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til overskrift eller indledning på meddelelsen fra Statstidende.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StatstidendeMeddelelseProklamaDato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bekendtgørelsen fra Statstidende.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StatstidendeMeddelelseRegistreringNummer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entydigt en færøsk virksomhed.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i meddelelser fra Statstidende hvori færøske virksomheder indgår, idet disse ikke har et CVR-nummer.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på værdi: "Sp/f3310")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StatstidendeMeddelelseRetsKreds</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retskredsen som meddelelsen kommer fra.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StatstidendeMeddelelseRetsKredsSagNummer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Sagsnummer som retskredsen har tilknyttet meddelelsen.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StatstidendeMeddelelseSagNr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sagsnummer der er tilknyttet personen eller virksomheden relateret til denne meddelelse.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StatstidendeMeddelelseTekst</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beskeden fra Statstidende.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StatstidendeMeddelelseType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meddelelse fra Statstidende.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DOEDSBOER_ANDRE_MEDDELELSER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DOEDSBOER_ARVEPROKLAMA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DOEDSBOER_INDKALDELSE_TIL_BOMOEDE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DOEDSBOER_PROKLAMA_FAEROEERNE_OG_GROENLAND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DOEDSBOER_PROKLAMA_GAMMEL_UDGAVE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GAELDSSANERING_ANDRE_MEDDELELSER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GAELDSSANERING_INDLEDNING_AF_SAG_PRAEKLUSIVT_PROKLAMA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GAELDSSANERING_KENDELSE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GAELDSSANERING_KREDITORMOEDE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GAELDSSANERING_PRAEKLUSIVT_PROKLAMA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KONKURSBOER_ANDRE_MEDDELELSER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KONKURSBOER_DEKRET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KONKURSBOER_INDKALDELSE_TIL_FORDRINGSPROEVELSE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KONKURSBOER_OPHAEVELSE_AF_DEKRET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KONKURSBOER_REGNSKAB_OG_BOAFSLUTNING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KONKURSBOER_SKIFTESAMLING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REKONSTRUKTION_ANDRE_FORDRINGSHAVERMEDDELELSER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REKONSTRUKTION_ANDRE_MEDDELELSER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REKONSTRUKTION_REKONSTRUKTIONBEHANDLINGENS_OPHOER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REKONSTRUKTION_REKONSTRUKTIONSFORSLAG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REKONSTRUKTION_REKONSTRUKTIONSPLAN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REKONSTRUKTION_REKONSTRUKTOERENS_FORELOEBIGE_OVERTAGELSE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StatstidendeMeddelelseUdstedelseDato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udstedelse eller underskrift af beskeden.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kun i enkelte Dødsbo-meddelelser.)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StatstidendeMeddelelseUdstedelseSted</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Stedet hvor udstedelsen eller underskrivningen foregik.</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kun i enkelte Dødsbo-meddelelser.)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StatstidendeMeddelelseUnderskriver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Underskriver af meddelelsen.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kun i enkelte Dødsbo-meddelelser.)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TransaktionHæftelseFordringValg</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 H</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transaktion er en hæftelse eller en fordring.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 Hæftelse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Fordring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hæftelse vil KundeStruktur og HæftelseRestBeløb være udfyldt.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fordring vil FordringRestBeløb være udfyldt.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UdgiftPostSumBeløb</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alle udgiftsposter i budgettet. Et beløb i den indrapporterede valuta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UdgiftPostSumBeløbDKK</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alle udgiftsposter i budgettet. Et beløb i danske kroner omregnet fra den indrapporterede valuta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UdlægFordringIndbetalingBeløbDKK</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beløb som en kunde frivilligt indbetaler på en fordring i forbindelse med afvikling af en udlægningsforretning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UdlægFordringUdlægBeløbDKK</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udlægsbeløb for fordringer efter justering for evt. frafald af kald og varsel og indbetaling fra kunden i forbindelse med et udlæg.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UdlægMødeDatoTid</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møde i forbindelse med udlæg. Er angivet i tilsigelsen.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UdlægTinglysningSendtDato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tidligere udsendt brev om "anmod om andelsboligerklæring".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UdlægUdsendelseDato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udsendelse af tilsigelse til kunde. Kaldes også tilsigelsesdato.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Kunden har frasagt sig kald og varsel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Kunden har ikke frasagt sig kald og varsel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UdlægsbladSærligeBemærkninger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UdlægsbladTotalIndbetalingBeløbDDK</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beløb som en kunde frivilligt indbetaler på fordringer der er omfattet af et udlæg i forbindelse med afvikling af en udlægningsforretning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UdlægsbladTotalKaldVarselFrasagtBeløbDKK</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 sum på frafald af kald og varsel på inddrivelsesrente for fordringer der er omfattet af et udlæg.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UdlægsbladTotalKaldVarselFrasagtOpkrRenteogGebyrBeløbDDK</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 sum på frafald af kald og varsel på hovedfordring/opkrævningsrenter/opkrævningsgebyr for en udlæg.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UdlægsbladTotalUdlægBeløbDKK</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udlægsbeløb for alle de fordringer der er omfattet af et udlæg - efter justering for evt. frafald af kald og varsel og indbetaling fra kunden i forbindelse med et udlæg.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valutakurs der er anvendt til omregning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eTLAndelsIdentifikator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andelsbolig i eTL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eTLEjendomIdentifikator</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ejendom i eTL.</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eTLEjendomTypeKode</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identificerer en ejendomstype (se http://rep.oio.dk/tinglysning.dk/schema/model/1/EjendomType)</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1E1D" w:rsidTr="00121E1D">
        <w:tblPrEx>
          <w:tblCellMar>
            <w:top w:w="0" w:type="dxa"/>
            <w:bottom w:w="0" w:type="dxa"/>
          </w:tblCellMar>
        </w:tblPrEx>
        <w:tc>
          <w:tcPr>
            <w:tcW w:w="3401" w:type="dxa"/>
          </w:tcPr>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eTLIdentifikatorMarkering</w:t>
            </w:r>
          </w:p>
        </w:tc>
        <w:tc>
          <w:tcPr>
            <w:tcW w:w="170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Dokumentation: Flag, der markerer, om EFI har gemt en identifikator til tinglysning af udlæg i aktivet</w:t>
            </w:r>
          </w:p>
          <w:p w:rsid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21E1D" w:rsidRPr="00121E1D" w:rsidRDefault="00121E1D" w:rsidP="00121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21E1D" w:rsidRPr="00121E1D" w:rsidSect="00121E1D">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1E1D" w:rsidRDefault="00121E1D" w:rsidP="00121E1D">
      <w:pPr>
        <w:spacing w:line="240" w:lineRule="auto"/>
      </w:pPr>
      <w:r>
        <w:separator/>
      </w:r>
    </w:p>
  </w:endnote>
  <w:endnote w:type="continuationSeparator" w:id="0">
    <w:p w:rsidR="00121E1D" w:rsidRDefault="00121E1D" w:rsidP="00121E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E1D" w:rsidRPr="00121E1D" w:rsidRDefault="00121E1D" w:rsidP="00121E1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EFIMeddelelseSamlingContainer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1E1D" w:rsidRDefault="00121E1D" w:rsidP="00121E1D">
      <w:pPr>
        <w:spacing w:line="240" w:lineRule="auto"/>
      </w:pPr>
      <w:r>
        <w:separator/>
      </w:r>
    </w:p>
  </w:footnote>
  <w:footnote w:type="continuationSeparator" w:id="0">
    <w:p w:rsidR="00121E1D" w:rsidRDefault="00121E1D" w:rsidP="00121E1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E1D" w:rsidRPr="00121E1D" w:rsidRDefault="00121E1D" w:rsidP="00121E1D">
    <w:pPr>
      <w:pStyle w:val="Sidehoved"/>
      <w:jc w:val="center"/>
      <w:rPr>
        <w:rFonts w:ascii="Arial" w:hAnsi="Arial" w:cs="Arial"/>
      </w:rPr>
    </w:pPr>
    <w:r w:rsidRPr="00121E1D">
      <w:rPr>
        <w:rFonts w:ascii="Arial" w:hAnsi="Arial" w:cs="Arial"/>
      </w:rPr>
      <w:t>Servicebeskrivelse</w:t>
    </w:r>
  </w:p>
  <w:p w:rsidR="00121E1D" w:rsidRPr="00121E1D" w:rsidRDefault="00121E1D" w:rsidP="00121E1D">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E1D" w:rsidRPr="00121E1D" w:rsidRDefault="00121E1D" w:rsidP="00121E1D">
    <w:pPr>
      <w:pStyle w:val="Sidehoved"/>
      <w:jc w:val="center"/>
      <w:rPr>
        <w:rFonts w:ascii="Arial" w:hAnsi="Arial" w:cs="Arial"/>
      </w:rPr>
    </w:pPr>
    <w:r w:rsidRPr="00121E1D">
      <w:rPr>
        <w:rFonts w:ascii="Arial" w:hAnsi="Arial" w:cs="Arial"/>
      </w:rPr>
      <w:t>Datastrukturer</w:t>
    </w:r>
  </w:p>
  <w:p w:rsidR="00121E1D" w:rsidRPr="00121E1D" w:rsidRDefault="00121E1D" w:rsidP="00121E1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E1D" w:rsidRDefault="00121E1D" w:rsidP="00121E1D">
    <w:pPr>
      <w:pStyle w:val="Sidehoved"/>
      <w:jc w:val="center"/>
      <w:rPr>
        <w:rFonts w:ascii="Arial" w:hAnsi="Arial" w:cs="Arial"/>
      </w:rPr>
    </w:pPr>
    <w:r>
      <w:rPr>
        <w:rFonts w:ascii="Arial" w:hAnsi="Arial" w:cs="Arial"/>
      </w:rPr>
      <w:t>Data elementer</w:t>
    </w:r>
  </w:p>
  <w:p w:rsidR="00121E1D" w:rsidRPr="00121E1D" w:rsidRDefault="00121E1D" w:rsidP="00121E1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010B5A"/>
    <w:multiLevelType w:val="multilevel"/>
    <w:tmpl w:val="06A2DBA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E1D"/>
    <w:rsid w:val="00121E1D"/>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473D0C-D33B-4FC8-97CB-8A9515485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21E1D"/>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21E1D"/>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21E1D"/>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21E1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21E1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21E1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21E1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21E1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21E1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21E1D"/>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21E1D"/>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21E1D"/>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21E1D"/>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21E1D"/>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21E1D"/>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21E1D"/>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21E1D"/>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21E1D"/>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21E1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21E1D"/>
    <w:rPr>
      <w:rFonts w:ascii="Arial" w:hAnsi="Arial" w:cs="Arial"/>
      <w:b/>
      <w:sz w:val="30"/>
    </w:rPr>
  </w:style>
  <w:style w:type="paragraph" w:customStyle="1" w:styleId="Overskrift211pkt">
    <w:name w:val="Overskrift 2 + 11 pkt"/>
    <w:basedOn w:val="Normal"/>
    <w:link w:val="Overskrift211pktTegn"/>
    <w:rsid w:val="00121E1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21E1D"/>
    <w:rPr>
      <w:rFonts w:ascii="Arial" w:hAnsi="Arial" w:cs="Arial"/>
      <w:b/>
    </w:rPr>
  </w:style>
  <w:style w:type="paragraph" w:customStyle="1" w:styleId="Normal11">
    <w:name w:val="Normal + 11"/>
    <w:basedOn w:val="Normal"/>
    <w:link w:val="Normal11Tegn"/>
    <w:rsid w:val="00121E1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21E1D"/>
    <w:rPr>
      <w:rFonts w:ascii="Times New Roman" w:hAnsi="Times New Roman" w:cs="Times New Roman"/>
    </w:rPr>
  </w:style>
  <w:style w:type="paragraph" w:styleId="Sidehoved">
    <w:name w:val="header"/>
    <w:basedOn w:val="Normal"/>
    <w:link w:val="SidehovedTegn"/>
    <w:uiPriority w:val="99"/>
    <w:unhideWhenUsed/>
    <w:rsid w:val="00121E1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21E1D"/>
  </w:style>
  <w:style w:type="paragraph" w:styleId="Sidefod">
    <w:name w:val="footer"/>
    <w:basedOn w:val="Normal"/>
    <w:link w:val="SidefodTegn"/>
    <w:uiPriority w:val="99"/>
    <w:unhideWhenUsed/>
    <w:rsid w:val="00121E1D"/>
    <w:pPr>
      <w:tabs>
        <w:tab w:val="center" w:pos="4819"/>
        <w:tab w:val="right" w:pos="9638"/>
      </w:tabs>
      <w:spacing w:line="240" w:lineRule="auto"/>
    </w:pPr>
  </w:style>
  <w:style w:type="character" w:customStyle="1" w:styleId="SidefodTegn">
    <w:name w:val="Sidefod Tegn"/>
    <w:basedOn w:val="Standardskrifttypeiafsnit"/>
    <w:link w:val="Sidefod"/>
    <w:uiPriority w:val="99"/>
    <w:rsid w:val="00121E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85</Pages>
  <Words>19825</Words>
  <Characters>120939</Characters>
  <Application>Microsoft Office Word</Application>
  <DocSecurity>0</DocSecurity>
  <Lines>1007</Lines>
  <Paragraphs>280</Paragraphs>
  <ScaleCrop>false</ScaleCrop>
  <Company>skat</Company>
  <LinksUpToDate>false</LinksUpToDate>
  <CharactersWithSpaces>140484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2016-08-23T17:50:00Z</dcterms:created>
  <dcterms:modified xsi:type="dcterms:W3CDTF">2016-08-23T17:53:00Z</dcterms:modified>
</cp:coreProperties>
</file>