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00"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E0B28" w:rsidTr="003E0B28">
        <w:tblPrEx>
          <w:tblCellMar>
            <w:top w:w="0" w:type="dxa"/>
            <w:bottom w:w="0" w:type="dxa"/>
          </w:tblCellMar>
        </w:tblPrEx>
        <w:trPr>
          <w:trHeight w:hRule="exact" w:val="113"/>
        </w:trPr>
        <w:tc>
          <w:tcPr>
            <w:tcW w:w="10205" w:type="dxa"/>
            <w:gridSpan w:val="6"/>
            <w:shd w:val="clear" w:color="auto" w:fill="82A0F0"/>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rPr>
          <w:trHeight w:val="283"/>
        </w:trPr>
        <w:tc>
          <w:tcPr>
            <w:tcW w:w="10205" w:type="dxa"/>
            <w:gridSpan w:val="6"/>
            <w:tcBorders>
              <w:bottom w:val="single" w:sz="6" w:space="0" w:color="auto"/>
            </w:tcBorders>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E0B28">
              <w:rPr>
                <w:rFonts w:ascii="Arial" w:hAnsi="Arial" w:cs="Arial"/>
                <w:b/>
                <w:sz w:val="30"/>
              </w:rPr>
              <w:t>DMIDWInterfaceIKKESERVICE</w:t>
            </w:r>
          </w:p>
        </w:tc>
      </w:tr>
      <w:tr w:rsidR="003E0B28" w:rsidTr="003E0B28">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E0B28" w:rsidTr="003E0B28">
        <w:tblPrEx>
          <w:tblCellMar>
            <w:top w:w="0" w:type="dxa"/>
            <w:bottom w:w="0" w:type="dxa"/>
          </w:tblCellMar>
        </w:tblPrEx>
        <w:trPr>
          <w:gridAfter w:val="1"/>
          <w:trHeight w:val="283"/>
        </w:trPr>
        <w:tc>
          <w:tcPr>
            <w:tcW w:w="1701" w:type="dxa"/>
            <w:tcBorders>
              <w:top w:val="nil"/>
            </w:tcBorders>
            <w:shd w:val="clear" w:color="auto" w:fill="auto"/>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DW</w:t>
            </w:r>
          </w:p>
        </w:tc>
        <w:tc>
          <w:tcPr>
            <w:tcW w:w="3969" w:type="dxa"/>
            <w:tcBorders>
              <w:top w:val="nil"/>
            </w:tcBorders>
            <w:shd w:val="clear" w:color="auto" w:fill="auto"/>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w:t>
            </w:r>
          </w:p>
        </w:tc>
        <w:tc>
          <w:tcPr>
            <w:tcW w:w="1699" w:type="dxa"/>
            <w:tcBorders>
              <w:top w:val="nil"/>
            </w:tcBorders>
            <w:shd w:val="clear" w:color="auto" w:fill="auto"/>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2011-06-29</w:t>
            </w:r>
          </w:p>
        </w:tc>
        <w:tc>
          <w:tcPr>
            <w:tcW w:w="1699" w:type="dxa"/>
            <w:tcBorders>
              <w:top w:val="nil"/>
            </w:tcBorders>
            <w:shd w:val="clear" w:color="auto" w:fill="auto"/>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2016-05-31</w:t>
            </w:r>
          </w:p>
        </w:tc>
      </w:tr>
      <w:tr w:rsidR="003E0B28" w:rsidTr="003E0B28">
        <w:tblPrEx>
          <w:tblCellMar>
            <w:top w:w="0" w:type="dxa"/>
            <w:bottom w:w="0" w:type="dxa"/>
          </w:tblCellMar>
        </w:tblPrEx>
        <w:trPr>
          <w:trHeight w:val="283"/>
        </w:trPr>
        <w:tc>
          <w:tcPr>
            <w:tcW w:w="10205" w:type="dxa"/>
            <w:gridSpan w:val="6"/>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E0B28" w:rsidTr="003E0B28">
        <w:tblPrEx>
          <w:tblCellMar>
            <w:top w:w="0" w:type="dxa"/>
            <w:bottom w:w="0" w:type="dxa"/>
          </w:tblCellMar>
        </w:tblPrEx>
        <w:trPr>
          <w:trHeight w:val="283"/>
        </w:trPr>
        <w:tc>
          <w:tcPr>
            <w:tcW w:w="10205" w:type="dxa"/>
            <w:gridSpan w:val="6"/>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ikke en reel service men KUN en teknisk placeholder for den datastruktur, som DMIDWInformationOpret skal sende fra DMI til DW.</w:t>
            </w:r>
          </w:p>
        </w:tc>
      </w:tr>
      <w:tr w:rsidR="003E0B28" w:rsidTr="003E0B28">
        <w:tblPrEx>
          <w:tblCellMar>
            <w:top w:w="0" w:type="dxa"/>
            <w:bottom w:w="0" w:type="dxa"/>
          </w:tblCellMar>
        </w:tblPrEx>
        <w:trPr>
          <w:trHeight w:val="283"/>
        </w:trPr>
        <w:tc>
          <w:tcPr>
            <w:tcW w:w="10205" w:type="dxa"/>
            <w:gridSpan w:val="6"/>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E0B28" w:rsidTr="003E0B28">
        <w:tblPrEx>
          <w:tblCellMar>
            <w:top w:w="0" w:type="dxa"/>
            <w:bottom w:w="0" w:type="dxa"/>
          </w:tblCellMar>
        </w:tblPrEx>
        <w:trPr>
          <w:trHeight w:val="283"/>
        </w:trPr>
        <w:tc>
          <w:tcPr>
            <w:tcW w:w="10205" w:type="dxa"/>
            <w:gridSpan w:val="6"/>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rPr>
          <w:trHeight w:val="283"/>
        </w:trPr>
        <w:tc>
          <w:tcPr>
            <w:tcW w:w="10205" w:type="dxa"/>
            <w:gridSpan w:val="6"/>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E0B28" w:rsidTr="003E0B28">
        <w:tblPrEx>
          <w:tblCellMar>
            <w:top w:w="0" w:type="dxa"/>
            <w:bottom w:w="0" w:type="dxa"/>
          </w:tblCellMar>
        </w:tblPrEx>
        <w:trPr>
          <w:trHeight w:val="283"/>
        </w:trPr>
        <w:tc>
          <w:tcPr>
            <w:tcW w:w="10205" w:type="dxa"/>
            <w:gridSpan w:val="6"/>
            <w:shd w:val="clear" w:color="auto" w:fill="FFFFFF"/>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E0B28" w:rsidTr="003E0B28">
        <w:tblPrEx>
          <w:tblCellMar>
            <w:top w:w="0" w:type="dxa"/>
            <w:bottom w:w="0" w:type="dxa"/>
          </w:tblCellMar>
        </w:tblPrEx>
        <w:trPr>
          <w:trHeight w:val="283"/>
        </w:trPr>
        <w:tc>
          <w:tcPr>
            <w:tcW w:w="10205" w:type="dxa"/>
            <w:gridSpan w:val="6"/>
            <w:shd w:val="clear" w:color="auto" w:fill="FFFFFF"/>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DMIDWInterfaceIKKESERVICE_I</w:t>
            </w:r>
          </w:p>
        </w:tc>
      </w:tr>
      <w:tr w:rsidR="003E0B28" w:rsidTr="003E0B28">
        <w:tblPrEx>
          <w:tblCellMar>
            <w:top w:w="0" w:type="dxa"/>
            <w:bottom w:w="0" w:type="dxa"/>
          </w:tblCellMar>
        </w:tblPrEx>
        <w:trPr>
          <w:trHeight w:val="283"/>
        </w:trPr>
        <w:tc>
          <w:tcPr>
            <w:tcW w:w="10205" w:type="dxa"/>
            <w:gridSpan w:val="6"/>
            <w:shd w:val="clear" w:color="auto" w:fill="FFFFFF"/>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rPr>
          <w:trHeight w:val="283"/>
        </w:trPr>
        <w:tc>
          <w:tcPr>
            <w:tcW w:w="10205" w:type="dxa"/>
            <w:gridSpan w:val="6"/>
            <w:shd w:val="clear" w:color="auto" w:fill="FFFFFF"/>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E0B28" w:rsidTr="003E0B28">
        <w:tblPrEx>
          <w:tblCellMar>
            <w:top w:w="0" w:type="dxa"/>
            <w:bottom w:w="0" w:type="dxa"/>
          </w:tblCellMar>
        </w:tblPrEx>
        <w:trPr>
          <w:trHeight w:val="283"/>
        </w:trPr>
        <w:tc>
          <w:tcPr>
            <w:tcW w:w="10205" w:type="dxa"/>
            <w:gridSpan w:val="6"/>
            <w:shd w:val="clear" w:color="auto" w:fill="FFFFFF"/>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DMIDWInterfaceIKKESERVICE_O</w:t>
            </w:r>
          </w:p>
        </w:tc>
      </w:tr>
      <w:tr w:rsidR="003E0B28" w:rsidTr="003E0B28">
        <w:tblPrEx>
          <w:tblCellMar>
            <w:top w:w="0" w:type="dxa"/>
            <w:bottom w:w="0" w:type="dxa"/>
          </w:tblCellMar>
        </w:tblPrEx>
        <w:trPr>
          <w:trHeight w:val="283"/>
        </w:trPr>
        <w:tc>
          <w:tcPr>
            <w:tcW w:w="10205" w:type="dxa"/>
            <w:gridSpan w:val="6"/>
            <w:shd w:val="clear" w:color="auto" w:fill="FFFFFF"/>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DMIDWInformationStruktur</w:t>
            </w:r>
          </w:p>
        </w:tc>
      </w:tr>
      <w:tr w:rsidR="003E0B28" w:rsidTr="003E0B28">
        <w:tblPrEx>
          <w:tblCellMar>
            <w:top w:w="0" w:type="dxa"/>
            <w:bottom w:w="0" w:type="dxa"/>
          </w:tblCellMar>
        </w:tblPrEx>
        <w:trPr>
          <w:trHeight w:val="283"/>
        </w:trPr>
        <w:tc>
          <w:tcPr>
            <w:tcW w:w="10205" w:type="dxa"/>
            <w:gridSpan w:val="6"/>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3E0B28" w:rsidTr="003E0B28">
        <w:tblPrEx>
          <w:tblCellMar>
            <w:top w:w="0" w:type="dxa"/>
            <w:bottom w:w="0" w:type="dxa"/>
          </w:tblCellMar>
        </w:tblPrEx>
        <w:trPr>
          <w:trHeight w:val="283"/>
        </w:trPr>
        <w:tc>
          <w:tcPr>
            <w:tcW w:w="10205" w:type="dxa"/>
            <w:gridSpan w:val="6"/>
            <w:shd w:val="clear" w:color="auto" w:fill="FFFFFF"/>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E0B28" w:rsidSect="003E0B2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AlternativAdresseStruktur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BetalingOrdningRateBeløbStruktur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(BetalingOrdningRateBeløbDKK)</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DMIDWBetalingOrdningRateListeStruktur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CRUDFunktionType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BetalingOrdningBSFremsendt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BetalingOrdningBSFremsendtDato</w:t>
            </w:r>
            <w:r>
              <w:rPr>
                <w:rFonts w:ascii="Arial" w:hAnsi="Arial" w:cs="Arial"/>
                <w:sz w:val="18"/>
              </w:rPr>
              <w:tab/>
            </w:r>
            <w:r>
              <w:rPr>
                <w:rFonts w:ascii="Arial" w:hAnsi="Arial" w:cs="Arial"/>
                <w:sz w:val="18"/>
              </w:rPr>
              <w:tab/>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BetalingOrdningRateBeløbStruktur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DMIDWFordringHaverFordelingListeStruktur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FordringHaverFordeling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CRUDFunktionType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FordringHaverFordelingProcent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E0B28" w:rsidTr="003E0B28">
        <w:tblPrEx>
          <w:tblCellMar>
            <w:top w:w="0" w:type="dxa"/>
            <w:bottom w:w="0" w:type="dxa"/>
          </w:tblCellMar>
        </w:tblPrEx>
        <w:tc>
          <w:tcPr>
            <w:tcW w:w="10205" w:type="dxa"/>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0B28" w:rsidTr="003E0B28">
        <w:tblPrEx>
          <w:tblCellMar>
            <w:top w:w="0" w:type="dxa"/>
            <w:bottom w:w="0" w:type="dxa"/>
          </w:tblCellMar>
        </w:tblPrEx>
        <w:tc>
          <w:tcPr>
            <w:tcW w:w="10205" w:type="dxa"/>
            <w:shd w:val="clear" w:color="auto" w:fill="FFFFFF"/>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anvendes til udveksling af information imellem DMI og Datawarehouse.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Primærnøgle = DMIFordringHaverID+DMIFordringEFIFordringID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 er fremmednøgle som peger på en en Fordring.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CRUDFunktionType angiver om en række skal indsættes, opdateres eller slettes.</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DMIDWFordringStopListeStruktur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FordringStop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CRUDFunktionType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FordringStopStart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FordringStopSlut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FordringStopÅrsagStruktur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E0B28" w:rsidTr="003E0B28">
        <w:tblPrEx>
          <w:tblCellMar>
            <w:top w:w="0" w:type="dxa"/>
            <w:bottom w:w="0" w:type="dxa"/>
          </w:tblCellMar>
        </w:tblPrEx>
        <w:tc>
          <w:tcPr>
            <w:tcW w:w="10205" w:type="dxa"/>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0B28" w:rsidTr="003E0B28">
        <w:tblPrEx>
          <w:tblCellMar>
            <w:top w:w="0" w:type="dxa"/>
            <w:bottom w:w="0" w:type="dxa"/>
          </w:tblCellMar>
        </w:tblPrEx>
        <w:tc>
          <w:tcPr>
            <w:tcW w:w="10205" w:type="dxa"/>
            <w:shd w:val="clear" w:color="auto" w:fill="FFFFFF"/>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anvendes til udveksling af information imellem DMI og Datawarehouse.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Primærnøgle = 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+FordringStopType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+FordringStopStart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 er fremmednøgle som peger på en en fordring i en Transaktion  (hvor DMITransaktionIDType=RE)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CRUDFunktionType angiver om en række skal indsættes, opdateres eller slettes.</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DMIDWFordringTransaktionDækningListeStruktur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FordringDækning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DMIDWTransaktionDækningElementStruktur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DMIDWFordringTransaktionListeStruktur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FordringTransaktion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CRUDFunktionType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DMIIndberetterHentStruktur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DMITransaktionLøbenummer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DMITransaktionBeløbStruktur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(DMITransaktionVirkningDato)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DMITransaktionBogføringDato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(DMITransaktionÅrsagBegr)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(DMITransaktionÅrsagTekst)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DMIDWHæftelseAttrStruktur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DMIDWHæftelse*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CRUDFunktionType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KundeNummer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DMIIndberetterHentStruktur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DMIIndberetterDatoTid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DMIIndberetterID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DMIIndberetterRolle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(HæftelseSubsidiær)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(HæftelseSubsiAutoAfskriv)</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(HæftelseSubsiAutoAfskrivUdløb)</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(HæftelseSubsiStartDato)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HæftelseBegrænsetProcent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(HæftelseUnderBobehandling)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(HæftelseForældelseDato)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HæftelseMåAfskrives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(HæftelseMåAfskrivesEfterDato)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(HæftelseMåAfskrivesEfterDatoNote)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HæftelseMåForælde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(HæftelseOpkMyndRykkerDato1)</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(HæftelseOpkMyndRykkerDato2)</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(HæftelseKommentar)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HæftelseModtagelseDato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HæftelseDom</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(HæftelseDomDato)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HæftelseForlig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(HæftelseForligDato)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DMIDWHæftelseForældelseStruktur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DMIDWHæftelseForældelse*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CRUDFunktionType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HæftelseForældelseDatoID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HæftelseForældelseDatoAktiv</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HæftelseForældelseDato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HæftelseBasisDatoForBeregning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HæftelseForældelseÅrsagStruktur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HæftelseForældelseÅrsagKode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HæftelseForældelseÅrsagBegr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(HæftelseForældelseÅrsagTekst)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DMIDWHæftelseModregningStopListeStruktur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HæftelseModregningStop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CRUDFunktionType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HæftelseModregningStopStart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HæftelseModregningStopSlut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HæftelseModregningStopÅrsagStruktur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MyndighedUdbetaling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E0B28" w:rsidTr="003E0B28">
        <w:tblPrEx>
          <w:tblCellMar>
            <w:top w:w="0" w:type="dxa"/>
            <w:bottom w:w="0" w:type="dxa"/>
          </w:tblCellMar>
        </w:tblPrEx>
        <w:tc>
          <w:tcPr>
            <w:tcW w:w="10205" w:type="dxa"/>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0B28" w:rsidTr="003E0B28">
        <w:tblPrEx>
          <w:tblCellMar>
            <w:top w:w="0" w:type="dxa"/>
            <w:bottom w:w="0" w:type="dxa"/>
          </w:tblCellMar>
        </w:tblPrEx>
        <w:tc>
          <w:tcPr>
            <w:tcW w:w="10205" w:type="dxa"/>
            <w:shd w:val="clear" w:color="auto" w:fill="FFFFFF"/>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anvendes til udveksling af information imellem DMI og Datawarehouse.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Primærnøgle = 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+HæftelseModregningStopStart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 er fremmednøgle som peger på en en fordring i en Transaktion  (hvor DMITransaktionIDType=RE)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CRUDFunktionType angiver om en række skal indsættes, opdateres eller slettes.</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DMIDWHæftelseRenteFritagListeStruktur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HæftelseRenteFritag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CRUDFunktionType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HæftelseRenteFritagStart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HæftelseRenteFritagSlut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HæftelseRenteFritagStatusKode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HæftelseRenteFritagÅrsagStruktur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(HæftelseRenteFritagAnnDato)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E0B28" w:rsidTr="003E0B28">
        <w:tblPrEx>
          <w:tblCellMar>
            <w:top w:w="0" w:type="dxa"/>
            <w:bottom w:w="0" w:type="dxa"/>
          </w:tblCellMar>
        </w:tblPrEx>
        <w:tc>
          <w:tcPr>
            <w:tcW w:w="10205" w:type="dxa"/>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0B28" w:rsidTr="003E0B28">
        <w:tblPrEx>
          <w:tblCellMar>
            <w:top w:w="0" w:type="dxa"/>
            <w:bottom w:w="0" w:type="dxa"/>
          </w:tblCellMar>
        </w:tblPrEx>
        <w:tc>
          <w:tcPr>
            <w:tcW w:w="10205" w:type="dxa"/>
            <w:shd w:val="clear" w:color="auto" w:fill="FFFFFF"/>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anvendes til udveksling af information imellem DMI og Datawarehouse.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Primærnøgle = 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+HæftelseRenteFritagStart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+HæftelseRenteFritagStatusKode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 er fremmednøgle som peger på en en fordring i en Transaktion  (hvor DMITransaktionIDType=RE)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CRUDFunktionType angiver om en række skal indsættes, opdateres eller slettes.</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DMIDWHæftelseStopListeStruktur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HæftelseStop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CRUDFunktionType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HæftelseStopStart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HæftelseStopSlut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HæftelseStopÅrsagStruktur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E0B28" w:rsidTr="003E0B28">
        <w:tblPrEx>
          <w:tblCellMar>
            <w:top w:w="0" w:type="dxa"/>
            <w:bottom w:w="0" w:type="dxa"/>
          </w:tblCellMar>
        </w:tblPrEx>
        <w:tc>
          <w:tcPr>
            <w:tcW w:w="10205" w:type="dxa"/>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0B28" w:rsidTr="003E0B28">
        <w:tblPrEx>
          <w:tblCellMar>
            <w:top w:w="0" w:type="dxa"/>
            <w:bottom w:w="0" w:type="dxa"/>
          </w:tblCellMar>
        </w:tblPrEx>
        <w:tc>
          <w:tcPr>
            <w:tcW w:w="10205" w:type="dxa"/>
            <w:shd w:val="clear" w:color="auto" w:fill="FFFFFF"/>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anvendes til udveksling af information imellem DMI og Datawarehouse.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Primærnøgle = 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+HæftelseStopStart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 er fremmednøgle som peger på en en fordring i en Transaktion  (hvor DMITransaktionIDType=RE)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CRUDFunktionType angiver om en række skal indsættes, opdateres eller slettes.</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DMIDWHæftelseTransaktionDækningListeStruktur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HæftelseDækning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DMIDWTransaktionDækningElementStruktur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DMIDWIndbetalingListeStruktur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Indbetaling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CRUDFunktionType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DMITransaktionIDType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DMIIndberetterHentStruktur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(DMIIndbetalingBogførtDen)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DMIIndbetalingArt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DMIIndbetalingKilde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(DMIIndbetalingAfsender)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(BetalingOrdningRateID)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(ForventetIndbetalingID)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IndrivelseKunde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IndbetalingBeløbStruktur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(DMIIndbetalingEFIIndsatsID)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(DMIIndbetalingEFIIndbetalingID)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(DMIIndbetalingAdvisTekst)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E0B28" w:rsidTr="003E0B28">
        <w:tblPrEx>
          <w:tblCellMar>
            <w:top w:w="0" w:type="dxa"/>
            <w:bottom w:w="0" w:type="dxa"/>
          </w:tblCellMar>
        </w:tblPrEx>
        <w:tc>
          <w:tcPr>
            <w:tcW w:w="10205" w:type="dxa"/>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3E0B28" w:rsidTr="003E0B28">
        <w:tblPrEx>
          <w:tblCellMar>
            <w:top w:w="0" w:type="dxa"/>
            <w:bottom w:w="0" w:type="dxa"/>
          </w:tblCellMar>
        </w:tblPrEx>
        <w:tc>
          <w:tcPr>
            <w:tcW w:w="10205" w:type="dxa"/>
            <w:shd w:val="clear" w:color="auto" w:fill="FFFFFF"/>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anvendes til udveksling af information imellem DMI og Datawarehouse.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Primærnøgle = 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DMITransaktionID+DMITransaktionIDType er fremmednøgle som peger på en en Transaktion.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CRUDFunktionType angiver om en række skal indsættes, opdateres eller slettes.</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DMIDWInddrivelsesfordringMflListeStruktur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InddrivelsesfordringMfl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CRUDFunktionType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DMITransaktionIDType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DMIFordringTypeKategori</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(DMIFordringFordringHaverBeskr)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DMIFordringStiftelseTidspunkt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(DMIFordringKlasse)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DMIFordringForfaldDato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DMIFordringSRBDato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FordringPeriodeStruktur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DMIFordringForeløbigFastsat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(RenteValgStruktur)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E0B28" w:rsidTr="003E0B28">
        <w:tblPrEx>
          <w:tblCellMar>
            <w:top w:w="0" w:type="dxa"/>
            <w:bottom w:w="0" w:type="dxa"/>
          </w:tblCellMar>
        </w:tblPrEx>
        <w:tc>
          <w:tcPr>
            <w:tcW w:w="10205" w:type="dxa"/>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0B28" w:rsidTr="003E0B28">
        <w:tblPrEx>
          <w:tblCellMar>
            <w:top w:w="0" w:type="dxa"/>
            <w:bottom w:w="0" w:type="dxa"/>
          </w:tblCellMar>
        </w:tblPrEx>
        <w:tc>
          <w:tcPr>
            <w:tcW w:w="10205" w:type="dxa"/>
            <w:shd w:val="clear" w:color="auto" w:fill="FFFFFF"/>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anvendes til udveksling af information imellem DMI og Datawarehouse.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Primærnøgle = 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DMITransaktionID+DMITransaktionIDType er fremmednøgle som peger på en en en Transaktion.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CRUDFunktionType angiver om en række skal indsættes, opdateres eller slettes.</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DMIDWInformationStruktur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DMIDWTransaktionListeStruktur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DMIDWHæftelseTransaktionDækningListeStruktur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DMIDWFordringTransaktionListeStruktur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DMIDWFordringTransaktionDækningListeStruktur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DMIDWHæftelseAttrStruktur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DMIDWHæftelseForældelseStruktur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DMIDWInddrivelsesfordringMflListeStruktur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DMIDWTransportEllerUdlægsfordringListeStruktur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DMIDWTransportRettighedHaverListeStruktur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DMIDWTransportTransaktionListeStruktur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DMIDWIndbetalingListeStruktur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DMIDWUdbetalingListeStruktur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DMIDWBetalingOrdningRateListeStruktur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DMIDWFordringHaverFordelingListeStruktur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DMIDWFordringStopListeStruktur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DMIDWHæftelseModregningStopListeStruktur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DMIDWHæftelseRenteFritagListeStruktur</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DMIDWHæftelseStopListeStruktur</w:t>
            </w:r>
          </w:p>
        </w:tc>
      </w:tr>
      <w:tr w:rsidR="003E0B28" w:rsidTr="003E0B28">
        <w:tblPrEx>
          <w:tblCellMar>
            <w:top w:w="0" w:type="dxa"/>
            <w:bottom w:w="0" w:type="dxa"/>
          </w:tblCellMar>
        </w:tblPrEx>
        <w:tc>
          <w:tcPr>
            <w:tcW w:w="10205" w:type="dxa"/>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0B28" w:rsidTr="003E0B28">
        <w:tblPrEx>
          <w:tblCellMar>
            <w:top w:w="0" w:type="dxa"/>
            <w:bottom w:w="0" w:type="dxa"/>
          </w:tblCellMar>
        </w:tblPrEx>
        <w:tc>
          <w:tcPr>
            <w:tcW w:w="10205" w:type="dxa"/>
            <w:shd w:val="clear" w:color="auto" w:fill="FFFFFF"/>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beskriver den informationsmodel (datamodel), hvori Data Warehouse skal forvente at få data fra DMI.</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DMIDWTransaktionDækningElementStruktur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CRUDFunktionType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DMIIndberetterHentStruktur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TransaktionDækningBeløbStruktur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DMIDWTransaktionListeStruktur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Transaktion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CRUDFunktionType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DMIIndberetterHentStruktur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DMITransaktionIDType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DMITransaktionLøbenummer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DMITransaktionBeløbStruktur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(DMITransaktionVirkningDato)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DMITransaktionBogføringDato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(DMITransaktionÅrsagBegr)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(DMITransaktionÅrsagTekst)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(HæftelseForm)</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E0B28" w:rsidTr="003E0B28">
        <w:tblPrEx>
          <w:tblCellMar>
            <w:top w:w="0" w:type="dxa"/>
            <w:bottom w:w="0" w:type="dxa"/>
          </w:tblCellMar>
        </w:tblPrEx>
        <w:tc>
          <w:tcPr>
            <w:tcW w:w="10205" w:type="dxa"/>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0B28" w:rsidTr="003E0B28">
        <w:tblPrEx>
          <w:tblCellMar>
            <w:top w:w="0" w:type="dxa"/>
            <w:bottom w:w="0" w:type="dxa"/>
          </w:tblCellMar>
        </w:tblPrEx>
        <w:tc>
          <w:tcPr>
            <w:tcW w:w="10205" w:type="dxa"/>
            <w:shd w:val="clear" w:color="auto" w:fill="FFFFFF"/>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anvendes til udveksling af information imellem DMI og Datawarehouse.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Primærnøgle = 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CRUDFunktionType angiver om en række skal indsættes, opdateres eller slettes.</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DMIDWTransportEllerUdlægsfordringListeStruktur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TransportEllerUdlægsfordring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CRUDFunktionType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DMITransaktionIDType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DMIFordringModtagelseDato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(DMIFordringBogførtDen)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TransportUdlægUbegrænset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TransportUdlægVerificeres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MyndighedUdbetalingNKSNr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MyndighedUdbetalingPeriodeStruktur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TransportUdlægAcceptDato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TransportUdlægKorrektionDato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E0B28" w:rsidTr="003E0B28">
        <w:tblPrEx>
          <w:tblCellMar>
            <w:top w:w="0" w:type="dxa"/>
            <w:bottom w:w="0" w:type="dxa"/>
          </w:tblCellMar>
        </w:tblPrEx>
        <w:tc>
          <w:tcPr>
            <w:tcW w:w="10205" w:type="dxa"/>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0B28" w:rsidTr="003E0B28">
        <w:tblPrEx>
          <w:tblCellMar>
            <w:top w:w="0" w:type="dxa"/>
            <w:bottom w:w="0" w:type="dxa"/>
          </w:tblCellMar>
        </w:tblPrEx>
        <w:tc>
          <w:tcPr>
            <w:tcW w:w="10205" w:type="dxa"/>
            <w:shd w:val="clear" w:color="auto" w:fill="FFFFFF"/>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anvendes til udveksling af information imellem DMI og Datawarehouse.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Primærnøgle = 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DMITransaktionID+DMITransaktionIDType er fremmednøgle som peger på en en Transaktion.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CRUDFunktionType angiver om en række skal indsættes, opdateres eller slettes.</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DMIDWTransportRettighedHaverListeStruktur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TransportRettighedHaver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CRUDFunktionType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(TransportUdlægRettighedStruktur)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TransportRettighedHaverBesked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TransportRettighedHaverEjer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TransportRettighedHaverModtPen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TransportRettighedHaverForPrio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TransportRettighedHaverBeløbStruktur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DMIDWTransportTransaktionListeStruktur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TransportTransaktion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CRUDFunktionType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DMIIndberetterHentStruktur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DMITransaktionIDType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DMITransaktionBeløbStruktur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(FordringAfskrivningProcent)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(DMITransaktionVirkningDato)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DMITransaktionBogføringDato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(DMITransaktionÅrsagBegr)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(DMITransaktionÅrsagTekst)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(DMIIndbetalingArt)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DMIDWUdbetalingListeStruktur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Udbetaling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CRUDFunktionType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DMITransaktionIDType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DMIUdbetalingID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DMIIndberetterHentStruktur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DMIUdbetalingDato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(DMIUdbetalingBogførtDen)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MyndighedUdbetalingTypeKode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DMIUdbetalingNote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DMIUdbetalingNoteDato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DMIUdbetalingStatus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(DMIUdbetalingEFIIndsatsID)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AlternativUdbetalingKanal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DMIUdbetalingKontoType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DMIUdbetalingForm</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AlternativtKundenummer*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AdresseOplysning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DMIUdbetalingÅrsagStruktur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E0B28" w:rsidTr="003E0B28">
        <w:tblPrEx>
          <w:tblCellMar>
            <w:top w:w="0" w:type="dxa"/>
            <w:bottom w:w="0" w:type="dxa"/>
          </w:tblCellMar>
        </w:tblPrEx>
        <w:tc>
          <w:tcPr>
            <w:tcW w:w="10205" w:type="dxa"/>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3E0B28" w:rsidTr="003E0B28">
        <w:tblPrEx>
          <w:tblCellMar>
            <w:top w:w="0" w:type="dxa"/>
            <w:bottom w:w="0" w:type="dxa"/>
          </w:tblCellMar>
        </w:tblPrEx>
        <w:tc>
          <w:tcPr>
            <w:tcW w:w="10205" w:type="dxa"/>
            <w:shd w:val="clear" w:color="auto" w:fill="FFFFFF"/>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anvendes til udveksling af information imellem DMI og Datawarehouse.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Primærnøgle = DMITransaktionID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DMITransaktionID+DMITransaktionIDType er fremmednøgle som peger på en en Transaktion.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CRUDFunktionType angiver om en række skal indsættes, opdateres eller slettes.</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DMIIndberetterHentStruktur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DMIIndberetterDatoTid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DMITransaktionBeløbStruktur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(DMITransaktionBeløbDKK)</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DMIUdbetalingÅrsagStruktur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DMIUdbetalingÅrsagBegr</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(DMIUdbetalingÅrsagTekst)</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3E0B28" w:rsidTr="003E0B28">
        <w:tblPrEx>
          <w:tblCellMar>
            <w:top w:w="0" w:type="dxa"/>
            <w:bottom w:w="0" w:type="dxa"/>
          </w:tblCellMar>
        </w:tblPrEx>
        <w:tc>
          <w:tcPr>
            <w:tcW w:w="10205" w:type="dxa"/>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0B28" w:rsidTr="003E0B28">
        <w:tblPrEx>
          <w:tblCellMar>
            <w:top w:w="0" w:type="dxa"/>
            <w:bottom w:w="0" w:type="dxa"/>
          </w:tblCellMar>
        </w:tblPrEx>
        <w:tc>
          <w:tcPr>
            <w:tcW w:w="10205" w:type="dxa"/>
            <w:shd w:val="clear" w:color="auto" w:fill="FFFFFF"/>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FordringStopÅrsagStruktur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FordringStopÅrsagKode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FordringStopÅrsagBegr </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(FordringStopÅrsagTekst)</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HæftelseModregningStopÅrsagStruktur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HæftelseModregningStopÅrsagBegr</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(HæftelseModregningStopÅrsagTekst)</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HæftelseRenteFritagÅrsagStruktur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HæftelseRenteFritagÅrsagKodeBegr</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(HæftelseRenteFritagÅrsagTekst)</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HæftelseStopÅrsagStruktur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HæftelseStopÅrsagBegr</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(HæftelseStopÅrsagTekst)</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IndbetalingBeløbStruktur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(DMIIndbetalingBeløbDKK)</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E0B28" w:rsidTr="003E0B28">
        <w:tblPrEx>
          <w:tblCellMar>
            <w:top w:w="0" w:type="dxa"/>
            <w:bottom w:w="0" w:type="dxa"/>
          </w:tblCellMar>
        </w:tblPrEx>
        <w:tc>
          <w:tcPr>
            <w:tcW w:w="10205" w:type="dxa"/>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0B28" w:rsidTr="003E0B28">
        <w:tblPrEx>
          <w:tblCellMar>
            <w:top w:w="0" w:type="dxa"/>
            <w:bottom w:w="0" w:type="dxa"/>
          </w:tblCellMar>
        </w:tblPrEx>
        <w:tc>
          <w:tcPr>
            <w:tcW w:w="10205" w:type="dxa"/>
            <w:shd w:val="clear" w:color="auto" w:fill="FFFFFF"/>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3E0B28" w:rsidTr="003E0B28">
        <w:tblPrEx>
          <w:tblCellMar>
            <w:top w:w="0" w:type="dxa"/>
            <w:bottom w:w="0" w:type="dxa"/>
          </w:tblCellMar>
        </w:tblPrEx>
        <w:tc>
          <w:tcPr>
            <w:tcW w:w="10205" w:type="dxa"/>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E0B28" w:rsidTr="003E0B28">
        <w:tblPrEx>
          <w:tblCellMar>
            <w:top w:w="0" w:type="dxa"/>
            <w:bottom w:w="0" w:type="dxa"/>
          </w:tblCellMar>
        </w:tblPrEx>
        <w:tc>
          <w:tcPr>
            <w:tcW w:w="10205" w:type="dxa"/>
            <w:shd w:val="clear" w:color="auto" w:fill="FFFFFF"/>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TransaktionDækningBeløbStruktur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(DMITransaktionDækningBeløbDKK)</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TransportRettighedHaverBeløbStruktur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E0B28" w:rsidTr="003E0B28">
        <w:tblPrEx>
          <w:tblCellMar>
            <w:top w:w="0" w:type="dxa"/>
            <w:bottom w:w="0" w:type="dxa"/>
          </w:tblCellMar>
        </w:tblPrEx>
        <w:trPr>
          <w:trHeight w:hRule="exact" w:val="113"/>
        </w:trPr>
        <w:tc>
          <w:tcPr>
            <w:tcW w:w="10205" w:type="dxa"/>
            <w:shd w:val="clear" w:color="auto" w:fill="D2DCF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E0B28" w:rsidTr="003E0B28">
        <w:tblPrEx>
          <w:tblCellMar>
            <w:top w:w="0" w:type="dxa"/>
            <w:bottom w:w="0" w:type="dxa"/>
          </w:tblCellMar>
        </w:tblPrEx>
        <w:tc>
          <w:tcPr>
            <w:tcW w:w="10205" w:type="dx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3E0B28" w:rsidTr="003E0B28">
        <w:tblPrEx>
          <w:tblCellMar>
            <w:top w:w="0" w:type="dxa"/>
            <w:bottom w:w="0" w:type="dxa"/>
          </w:tblCellMar>
        </w:tblPrEx>
        <w:tc>
          <w:tcPr>
            <w:tcW w:w="10205" w:type="dxa"/>
            <w:vAlign w:val="center"/>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E0B28" w:rsidSect="003E0B28">
          <w:headerReference w:type="default" r:id="rId13"/>
          <w:pgSz w:w="11906" w:h="16838"/>
          <w:pgMar w:top="567" w:right="567" w:bottom="567" w:left="1134" w:header="283" w:footer="708" w:gutter="0"/>
          <w:cols w:space="708"/>
          <w:docGrid w:linePitch="360"/>
        </w:sect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E0B28" w:rsidTr="003E0B28">
        <w:tblPrEx>
          <w:tblCellMar>
            <w:top w:w="0" w:type="dxa"/>
            <w:bottom w:w="0" w:type="dxa"/>
          </w:tblCellMar>
        </w:tblPrEx>
        <w:trPr>
          <w:tblHeader/>
        </w:trPr>
        <w:tc>
          <w:tcPr>
            <w:tcW w:w="3401" w:type="dxa"/>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AdresseTypeGyldigFra</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AdresseTypeGyldigTil</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AdresseTypeTekst</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BetalingOrdningBSFremsendt</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Betalingsordning fremsendt til BS (betalingsservice)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Betalingsordning ikke fremsendt til BS (betalingsservice)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BetalingOrdningBSFremsendtDato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betalingen er fremsendt til BS Total.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BetalingOrdningID</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som indentificerer betalingsordningen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den indrapporterede valuta.  Den sidste rate er ikke nødvendigvis identisk med de første rater, men vil være det resterende beløb der skal betales (mindre end de øvrige ratebeløb) i den indrapporterede valuta.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BetalingOrdningRateBeløbDKK</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det beløb, som skal betales pr. rate, dvs. ratens størrelse i  i danske kroner  Den sidste rate er ikke nødvendigvis identisk med de første rater, men vil være det resterende beløb der skal betales (mindre end de øvrige ratebeløb) i danske kroner.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BetalingOrdningRateID</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betalingsordning rate.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CRUDFunktionType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C</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Create (Opret/Indsæt)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Retrieve (Læs/Hent/Søg)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Update (Opdater/Ændr)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Delete (Slet/Fjern)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DMIFordringBogførtDen</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DMIFordringFordringHaverRef</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DMIFordringKlasse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dækningsrækkefølgen for fordringer.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Bøder der er tillagt afsoning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Underholdsbidrag omfattet af lov om opkrævning af underholdsbidrag.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Andre fordringer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DMIFordringStiftelseTidspunkt</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DMIIndberetterDatoTid</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hvor indberetningen er foretaget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DMO, SLUT, SAP38 (karakterer)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Borger, Virksomhed, System, Medarbejder, Fordringshaver, Rettighedshaver</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Indberetterens rolle.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Rollen anvendes i sammenhæng med IndberettetID, efter følgende mønster, men der foretages ingen validering: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                                  System</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System</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System</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anvendes følgende mønster, men der foretages ligeledes ingen validering: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DMIIndbetalingAdvisTekst</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Advistekst som er knyttet til indbetalingen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DMIIndbetalingAfsender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indbetaler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DMIIndbetalingArt</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CHECK, DANKO, KONTA, LONIN, LONKO, MODRE, OCRLI, OMPOST, RENTG, TRMAND, ULAND</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underopdeling af indbetaling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valideres i sammenhæng med DMIIndbetalingKilde, hvor følgende kombinationer er gyldige: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DMIIndbetalingKilde   DMIIndbetalingArt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KONTA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CHECK</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DANKO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OMPOST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r>
              <w:rPr>
                <w:rFonts w:ascii="Arial" w:hAnsi="Arial" w:cs="Arial"/>
                <w:sz w:val="18"/>
              </w:rPr>
              <w:tab/>
            </w:r>
            <w:r>
              <w:rPr>
                <w:rFonts w:ascii="Arial" w:hAnsi="Arial" w:cs="Arial"/>
                <w:sz w:val="18"/>
              </w:rPr>
              <w:tab/>
              <w:t>MODRE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OCRLI</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BANKO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ULAND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r>
              <w:rPr>
                <w:rFonts w:ascii="Arial" w:hAnsi="Arial" w:cs="Arial"/>
                <w:sz w:val="18"/>
              </w:rPr>
              <w:tab/>
            </w:r>
            <w:r>
              <w:rPr>
                <w:rFonts w:ascii="Arial" w:hAnsi="Arial" w:cs="Arial"/>
                <w:sz w:val="18"/>
              </w:rPr>
              <w:tab/>
              <w:t>TRMAND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LONIN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LONKO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RENTG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r>
              <w:rPr>
                <w:rFonts w:ascii="Arial" w:hAnsi="Arial" w:cs="Arial"/>
                <w:sz w:val="18"/>
              </w:rPr>
              <w:tab/>
            </w:r>
            <w:r>
              <w:rPr>
                <w:rFonts w:ascii="Arial" w:hAnsi="Arial" w:cs="Arial"/>
                <w:sz w:val="18"/>
              </w:rPr>
              <w:tab/>
              <w:t>DANKO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NETS</w:t>
            </w:r>
            <w:r>
              <w:rPr>
                <w:rFonts w:ascii="Arial" w:hAnsi="Arial" w:cs="Arial"/>
                <w:sz w:val="18"/>
              </w:rPr>
              <w:tab/>
            </w:r>
            <w:r>
              <w:rPr>
                <w:rFonts w:ascii="Arial" w:hAnsi="Arial" w:cs="Arial"/>
                <w:sz w:val="18"/>
              </w:rPr>
              <w:tab/>
              <w:t>BANKO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r>
              <w:rPr>
                <w:rFonts w:ascii="Arial" w:hAnsi="Arial" w:cs="Arial"/>
                <w:sz w:val="18"/>
              </w:rPr>
              <w:tab/>
            </w:r>
            <w:r>
              <w:rPr>
                <w:rFonts w:ascii="Arial" w:hAnsi="Arial" w:cs="Arial"/>
                <w:sz w:val="18"/>
              </w:rPr>
              <w:tab/>
              <w:t>MODRE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w:t>
            </w:r>
            <w:r>
              <w:rPr>
                <w:rFonts w:ascii="Arial" w:hAnsi="Arial" w:cs="Arial"/>
                <w:sz w:val="18"/>
              </w:rPr>
              <w:tab/>
              <w:t>MODRE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r>
              <w:rPr>
                <w:rFonts w:ascii="Arial" w:hAnsi="Arial" w:cs="Arial"/>
                <w:sz w:val="18"/>
              </w:rPr>
              <w:tab/>
            </w:r>
            <w:r>
              <w:rPr>
                <w:rFonts w:ascii="Arial" w:hAnsi="Arial" w:cs="Arial"/>
                <w:sz w:val="18"/>
              </w:rPr>
              <w:tab/>
              <w:t>MODRE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DMIIndbetalingArt LONKO kan ikke anvendes ved oprettelse af indbetalinger. Den sættes automatisk af DMI ved korrektion af lønindeholdelser.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DANKO: Dankort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LONIN: Lønindeholdelse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LONKO: Lønindeholdelse korrektion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 Modregning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OCRLI: OCR Linie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 Ompostering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RENTG: Rentegodtgørelse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TRMAND: Tredjemands-indbetaling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ULAND: Udenlandsk indbetaling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DMIIndbetalingBeløb</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den angivne valuta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DMIIndbetalingBeløbDKK</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 omregnet til danske kr.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DMIIndbetalingBogførtDen</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indbetalingen er foretaget.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DMIIndbetalingEFIIndbetalingID</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Indbetalingsid hos EFI.</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reference til eIndkomst-angivelsen per kunde og per dispositionsdato. Skal anvendes til korrektion af tidl. modtaget angivelse ifm. lønindeholdelse i EFI. ID'et dannes i EFI (dette er ikke samme reference som modtages fra eIndkomst).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DMIIndbetalingEFIIndsatsID</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DMIIndbetalingKilde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DMO, EFI, NEMKONT, NETS, SAP38, SKB, SLUT</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Reference til det specifikke system der indbetales fra.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DMITransaktionBeløb</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Transaktionsbeløb i den angivne valuta.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DMITransaktionBeløbDKK</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Transaktionsbeløb i danske kroner.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DMITransaktionBogføringDato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alle transaktionstyper (se DMITransaktionType) bruges DMIIndberetterDatoTid, altså Dags dato for bogføringen i DMI.</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Transaktionsdato.Hvilken dato der indsættes afhænger af transaktionstypen: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DMIIndbetalingDato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DMIIndbetalingDato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DMIFordringModtagelseDato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FordringAfskrivningDato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Sættes lig virkningsdato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FordringNedskrivningDato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FordringOpskrivningDato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HovedFordringReturDato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Registreringsdato i DMI</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HovedFordringTilbageDato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DMIIndbetalingDato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Registreringsdato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RENTE Tilskrivningsdato i DMI</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Registreringsdato i DMI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DMIIndbetalingDato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DMIIndbetalingDato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DMIUdbetalingDato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DMITransaktionDækningBeløbDKK</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DMITransaktionDækningDato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DMITransaktionID</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 for de forskellige transaktiontyper.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DMITransaktionIDType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RE, IP, OP</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 = Receivable (FordringID)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 Incoming Payment (IndbetalingID)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 Outgoing Payment (UdbetalingID)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DMITransaktionLøbenummer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identificerer en specifik transaktion i et kald af en service. Det enkelte servicekald kan indeholde flere transaktioner i samme kald, men samme TransaktionLøbenummer må ikke angives mere end en gang i hvert kald, og må heller ikke angives mere end en gang på tværs af kald.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Generelt medfører fremsendelse af samme TransaktionLøbenummer, at den pågældende transaktion afvises som dublet. I enkelte services, f.eks. DMIFordringTilbagekald, er der implementeret teknisk idempotens, ved altid at returnere samme svar, når der kaldes med samme TransaktionLøbenummer.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eksempel genererer EFI / ModtagFordring et løbenummer pr fordringstransaktion, som sendes sammen med servicen.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for at kunne logge historikken, og sikre mod fremsendelse af dubletter.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DMITransaktionType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transaktionstype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DMITransaktionType  DMITransaktionIDType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w:t>
            </w:r>
            <w:r>
              <w:rPr>
                <w:rFonts w:ascii="Arial" w:hAnsi="Arial" w:cs="Arial"/>
                <w:sz w:val="18"/>
              </w:rPr>
              <w:tab/>
            </w:r>
            <w:r>
              <w:rPr>
                <w:rFonts w:ascii="Arial" w:hAnsi="Arial" w:cs="Arial"/>
                <w:sz w:val="18"/>
              </w:rPr>
              <w:tab/>
            </w:r>
            <w:r>
              <w:rPr>
                <w:rFonts w:ascii="Arial" w:hAnsi="Arial" w:cs="Arial"/>
                <w:sz w:val="18"/>
              </w:rPr>
              <w:tab/>
              <w:t>OP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DÆKNMOD</w:t>
            </w:r>
            <w:r>
              <w:rPr>
                <w:rFonts w:ascii="Arial" w:hAnsi="Arial" w:cs="Arial"/>
                <w:sz w:val="18"/>
              </w:rPr>
              <w:tab/>
            </w:r>
            <w:r>
              <w:rPr>
                <w:rFonts w:ascii="Arial" w:hAnsi="Arial" w:cs="Arial"/>
                <w:sz w:val="18"/>
              </w:rPr>
              <w:tab/>
            </w:r>
            <w:r>
              <w:rPr>
                <w:rFonts w:ascii="Arial" w:hAnsi="Arial" w:cs="Arial"/>
                <w:sz w:val="18"/>
              </w:rPr>
              <w:tab/>
              <w:t>IP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r>
              <w:rPr>
                <w:rFonts w:ascii="Arial" w:hAnsi="Arial" w:cs="Arial"/>
                <w:sz w:val="18"/>
              </w:rPr>
              <w:tab/>
            </w:r>
            <w:r>
              <w:rPr>
                <w:rFonts w:ascii="Arial" w:hAnsi="Arial" w:cs="Arial"/>
                <w:sz w:val="18"/>
              </w:rPr>
              <w:tab/>
            </w:r>
            <w:r>
              <w:rPr>
                <w:rFonts w:ascii="Arial" w:hAnsi="Arial" w:cs="Arial"/>
                <w:sz w:val="18"/>
              </w:rPr>
              <w:tab/>
              <w:t>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r>
              <w:rPr>
                <w:rFonts w:ascii="Arial" w:hAnsi="Arial" w:cs="Arial"/>
                <w:sz w:val="18"/>
              </w:rPr>
              <w:tab/>
            </w:r>
            <w:r>
              <w:rPr>
                <w:rFonts w:ascii="Arial" w:hAnsi="Arial" w:cs="Arial"/>
                <w:sz w:val="18"/>
              </w:rPr>
              <w:tab/>
              <w:t>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w:t>
            </w:r>
            <w:r>
              <w:rPr>
                <w:rFonts w:ascii="Arial" w:hAnsi="Arial" w:cs="Arial"/>
                <w:sz w:val="18"/>
              </w:rPr>
              <w:tab/>
            </w:r>
            <w:r>
              <w:rPr>
                <w:rFonts w:ascii="Arial" w:hAnsi="Arial" w:cs="Arial"/>
                <w:sz w:val="18"/>
              </w:rPr>
              <w:tab/>
              <w:t>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r>
              <w:rPr>
                <w:rFonts w:ascii="Arial" w:hAnsi="Arial" w:cs="Arial"/>
                <w:sz w:val="18"/>
              </w:rPr>
              <w:tab/>
            </w:r>
            <w:r>
              <w:rPr>
                <w:rFonts w:ascii="Arial" w:hAnsi="Arial" w:cs="Arial"/>
                <w:sz w:val="18"/>
              </w:rPr>
              <w:tab/>
              <w:t>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r>
              <w:rPr>
                <w:rFonts w:ascii="Arial" w:hAnsi="Arial" w:cs="Arial"/>
                <w:sz w:val="18"/>
              </w:rPr>
              <w:tab/>
            </w:r>
            <w:r>
              <w:rPr>
                <w:rFonts w:ascii="Arial" w:hAnsi="Arial" w:cs="Arial"/>
                <w:sz w:val="18"/>
              </w:rPr>
              <w:tab/>
              <w:t>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r>
              <w:rPr>
                <w:rFonts w:ascii="Arial" w:hAnsi="Arial" w:cs="Arial"/>
                <w:sz w:val="18"/>
              </w:rPr>
              <w:tab/>
            </w:r>
            <w:r>
              <w:rPr>
                <w:rFonts w:ascii="Arial" w:hAnsi="Arial" w:cs="Arial"/>
                <w:sz w:val="18"/>
              </w:rPr>
              <w:tab/>
              <w:t>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w:t>
            </w:r>
            <w:r>
              <w:rPr>
                <w:rFonts w:ascii="Arial" w:hAnsi="Arial" w:cs="Arial"/>
                <w:sz w:val="18"/>
              </w:rPr>
              <w:tab/>
            </w:r>
            <w:r>
              <w:rPr>
                <w:rFonts w:ascii="Arial" w:hAnsi="Arial" w:cs="Arial"/>
                <w:sz w:val="18"/>
              </w:rPr>
              <w:tab/>
              <w:t>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w:t>
            </w:r>
            <w:r>
              <w:rPr>
                <w:rFonts w:ascii="Arial" w:hAnsi="Arial" w:cs="Arial"/>
                <w:sz w:val="18"/>
              </w:rPr>
              <w:tab/>
            </w:r>
            <w:r>
              <w:rPr>
                <w:rFonts w:ascii="Arial" w:hAnsi="Arial" w:cs="Arial"/>
                <w:sz w:val="18"/>
              </w:rPr>
              <w:tab/>
            </w:r>
            <w:r>
              <w:rPr>
                <w:rFonts w:ascii="Arial" w:hAnsi="Arial" w:cs="Arial"/>
                <w:sz w:val="18"/>
              </w:rPr>
              <w:tab/>
              <w:t>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w:t>
            </w:r>
            <w:r>
              <w:rPr>
                <w:rFonts w:ascii="Arial" w:hAnsi="Arial" w:cs="Arial"/>
                <w:sz w:val="18"/>
              </w:rPr>
              <w:tab/>
            </w:r>
            <w:r>
              <w:rPr>
                <w:rFonts w:ascii="Arial" w:hAnsi="Arial" w:cs="Arial"/>
                <w:sz w:val="18"/>
              </w:rPr>
              <w:tab/>
            </w:r>
            <w:r>
              <w:rPr>
                <w:rFonts w:ascii="Arial" w:hAnsi="Arial" w:cs="Arial"/>
                <w:sz w:val="18"/>
              </w:rPr>
              <w:tab/>
              <w:t>IP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w:t>
            </w:r>
            <w:r>
              <w:rPr>
                <w:rFonts w:ascii="Arial" w:hAnsi="Arial" w:cs="Arial"/>
                <w:sz w:val="18"/>
              </w:rPr>
              <w:tab/>
            </w:r>
            <w:r>
              <w:rPr>
                <w:rFonts w:ascii="Arial" w:hAnsi="Arial" w:cs="Arial"/>
                <w:sz w:val="18"/>
              </w:rPr>
              <w:tab/>
            </w:r>
            <w:r>
              <w:rPr>
                <w:rFonts w:ascii="Arial" w:hAnsi="Arial" w:cs="Arial"/>
                <w:sz w:val="18"/>
              </w:rPr>
              <w:tab/>
              <w:t>IP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r>
              <w:rPr>
                <w:rFonts w:ascii="Arial" w:hAnsi="Arial" w:cs="Arial"/>
                <w:sz w:val="18"/>
              </w:rPr>
              <w:tab/>
            </w:r>
            <w:r>
              <w:rPr>
                <w:rFonts w:ascii="Arial" w:hAnsi="Arial" w:cs="Arial"/>
                <w:sz w:val="18"/>
              </w:rPr>
              <w:tab/>
              <w:t>IP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w:t>
            </w:r>
            <w:r>
              <w:rPr>
                <w:rFonts w:ascii="Arial" w:hAnsi="Arial" w:cs="Arial"/>
                <w:sz w:val="18"/>
              </w:rPr>
              <w:tab/>
            </w:r>
            <w:r>
              <w:rPr>
                <w:rFonts w:ascii="Arial" w:hAnsi="Arial" w:cs="Arial"/>
                <w:sz w:val="18"/>
              </w:rPr>
              <w:tab/>
            </w:r>
            <w:r>
              <w:rPr>
                <w:rFonts w:ascii="Arial" w:hAnsi="Arial" w:cs="Arial"/>
                <w:sz w:val="18"/>
              </w:rPr>
              <w:tab/>
              <w:t>OP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r>
            <w:r>
              <w:rPr>
                <w:rFonts w:ascii="Arial" w:hAnsi="Arial" w:cs="Arial"/>
                <w:sz w:val="18"/>
              </w:rPr>
              <w:tab/>
              <w:t>IP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DÆKNAFG: </w:t>
            </w:r>
            <w:r>
              <w:rPr>
                <w:rFonts w:ascii="Arial" w:hAnsi="Arial" w:cs="Arial"/>
                <w:sz w:val="18"/>
              </w:rPr>
              <w:tab/>
            </w:r>
            <w:r>
              <w:rPr>
                <w:rFonts w:ascii="Arial" w:hAnsi="Arial" w:cs="Arial"/>
                <w:sz w:val="18"/>
              </w:rPr>
              <w:tab/>
              <w:t>Afgivet til Dækning på anden konto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w:t>
            </w:r>
            <w:r>
              <w:rPr>
                <w:rFonts w:ascii="Arial" w:hAnsi="Arial" w:cs="Arial"/>
                <w:sz w:val="18"/>
              </w:rPr>
              <w:tab/>
            </w:r>
            <w:r>
              <w:rPr>
                <w:rFonts w:ascii="Arial" w:hAnsi="Arial" w:cs="Arial"/>
                <w:sz w:val="18"/>
              </w:rPr>
              <w:tab/>
              <w:t xml:space="preserve">Modtaget fra anden konto til Dækning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w:t>
            </w:r>
            <w:r>
              <w:rPr>
                <w:rFonts w:ascii="Arial" w:hAnsi="Arial" w:cs="Arial"/>
                <w:sz w:val="18"/>
              </w:rPr>
              <w:tab/>
            </w:r>
            <w:r>
              <w:rPr>
                <w:rFonts w:ascii="Arial" w:hAnsi="Arial" w:cs="Arial"/>
                <w:sz w:val="18"/>
              </w:rPr>
              <w:tab/>
              <w:t>Fordring modtaget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FORDRINGAF: </w:t>
            </w:r>
            <w:r>
              <w:rPr>
                <w:rFonts w:ascii="Arial" w:hAnsi="Arial" w:cs="Arial"/>
                <w:sz w:val="18"/>
              </w:rPr>
              <w:tab/>
              <w:t>Afskrivning af fordring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FORDRINGKO: </w:t>
            </w:r>
            <w:r>
              <w:rPr>
                <w:rFonts w:ascii="Arial" w:hAnsi="Arial" w:cs="Arial"/>
                <w:sz w:val="18"/>
              </w:rPr>
              <w:tab/>
              <w:t>Fordrings korrektion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FORDRINGNE: </w:t>
            </w:r>
            <w:r>
              <w:rPr>
                <w:rFonts w:ascii="Arial" w:hAnsi="Arial" w:cs="Arial"/>
                <w:sz w:val="18"/>
              </w:rPr>
              <w:tab/>
              <w:t>Nedskrivning af fordring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FORDRINGOP: </w:t>
            </w:r>
            <w:r>
              <w:rPr>
                <w:rFonts w:ascii="Arial" w:hAnsi="Arial" w:cs="Arial"/>
                <w:sz w:val="18"/>
              </w:rPr>
              <w:tab/>
              <w:t>Opskrivning af fordring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FORDRINGRE: </w:t>
            </w:r>
            <w:r>
              <w:rPr>
                <w:rFonts w:ascii="Arial" w:hAnsi="Arial" w:cs="Arial"/>
                <w:sz w:val="18"/>
              </w:rPr>
              <w:tab/>
              <w:t>Returnering af fordring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 </w:t>
            </w:r>
            <w:r>
              <w:rPr>
                <w:rFonts w:ascii="Arial" w:hAnsi="Arial" w:cs="Arial"/>
                <w:sz w:val="18"/>
              </w:rPr>
              <w:tab/>
              <w:t>Fordring fordringhaverskift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FORDRINGTI: </w:t>
            </w:r>
            <w:r>
              <w:rPr>
                <w:rFonts w:ascii="Arial" w:hAnsi="Arial" w:cs="Arial"/>
                <w:sz w:val="18"/>
              </w:rPr>
              <w:tab/>
              <w:t>Tilbagekaldelse af fordring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 </w:t>
            </w:r>
            <w:r>
              <w:rPr>
                <w:rFonts w:ascii="Arial" w:hAnsi="Arial" w:cs="Arial"/>
                <w:sz w:val="18"/>
              </w:rPr>
              <w:tab/>
            </w:r>
            <w:r>
              <w:rPr>
                <w:rFonts w:ascii="Arial" w:hAnsi="Arial" w:cs="Arial"/>
                <w:sz w:val="18"/>
              </w:rPr>
              <w:tab/>
              <w:t>"rigtig" indbetaling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INDBETALDK: </w:t>
            </w:r>
            <w:r>
              <w:rPr>
                <w:rFonts w:ascii="Arial" w:hAnsi="Arial" w:cs="Arial"/>
                <w:sz w:val="18"/>
              </w:rPr>
              <w:tab/>
              <w:t>Indbetaling dækning ændret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RENTEGODTG: </w:t>
            </w:r>
            <w:r>
              <w:rPr>
                <w:rFonts w:ascii="Arial" w:hAnsi="Arial" w:cs="Arial"/>
                <w:sz w:val="18"/>
              </w:rPr>
              <w:tab/>
              <w:t>Rentegodtgørelse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TRANSPAFG: </w:t>
            </w:r>
            <w:r>
              <w:rPr>
                <w:rFonts w:ascii="Arial" w:hAnsi="Arial" w:cs="Arial"/>
                <w:sz w:val="18"/>
              </w:rPr>
              <w:tab/>
              <w:t>TransportBeløbAfgivet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TRANSPMOD: </w:t>
            </w:r>
            <w:r>
              <w:rPr>
                <w:rFonts w:ascii="Arial" w:hAnsi="Arial" w:cs="Arial"/>
                <w:sz w:val="18"/>
              </w:rPr>
              <w:tab/>
              <w:t>TransportBeløbModtaget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r>
              <w:rPr>
                <w:rFonts w:ascii="Arial" w:hAnsi="Arial" w:cs="Arial"/>
                <w:sz w:val="18"/>
              </w:rPr>
              <w:tab/>
            </w:r>
            <w:r>
              <w:rPr>
                <w:rFonts w:ascii="Arial" w:hAnsi="Arial" w:cs="Arial"/>
                <w:sz w:val="18"/>
              </w:rPr>
              <w:tab/>
              <w:t>Udbetaling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DMITransaktionVirkningDato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kan fortolkes forskelligt afhængig af TransaktionTypen: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Transaktiontype: DMITransaktionVirkningDato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DÆKNAFG: Tages som hovedregel fra betalingsdato på den bagvedliggende indbetaling.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DÆKNMOD: EffektFra/virkningsdato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indbetalingen har en rentemæssig (dækning) effekt)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Tages som hovedregel fra betalingsdato på den bagvedliggende indbetaling.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FORDRINGTI: Dato for påvirkning af saldo, og dermed hvornår transaktionen har rentemæssig effekt.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 EffektFra/virkningsdato (dato hvorefter indbetalingen har en rentemæssig (dækning) effekt). Tages som hovedregel fra betalingsdato.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INDBETALDK: EffektFra/virkningsdato (dato hvorefter indbetalingen har en rentemæssig (korrigeret dækning) effekt). Tages som hovedregel fra betalingsdato.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Registreringsdato.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 EffektFra/virkningsdato (dato hvorefter 'indbetalingen' har en rentemæssig (dækning) effekt).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TRANSPAFG: Registreringsdato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TRANSPMOD: EffektFra/virkningsdato (dato hvorefter 'indbetalingen' har en rentemæssig (dækning) effekt).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 Registreringsdato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DMITransaktionÅrsagBegr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valg af årsagskode.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DMITransaktionÅrsagKode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transktion 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KOLO: Korrektion Lønindeholdelse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FordringKorrektionÅrsagKode: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INAA: Indbetaling fra anden hæfter annulleret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INAH: Indbetaling fra anden hæfter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SSFH: Saldo på fordring skal udgøre saldoen på hæfterne dog max. 100%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Tidligere fejlagtigt nedskrevet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ODIFF: Øredifference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Gældsanering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SOPH: Samlivsophævelse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DMIUdbetalingÅrsagKode: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 årsag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FMEIND: For meget indbetalt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FMELØN: For meget lønindeholdt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IFAFT: Ifølge aftale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SUNM: For sen udbetaling af negativ moms (21 dags reglen)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SUOS: For sen udbetaling af overskydende skat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URID: Uretmæssigt inddrevet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URTI: Uretmæssigt tilbageholdt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AFTL: Retur efter aftale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Ingen reaktion på videresendt klage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TRAF: Transport Afvist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DMIIndbetalingFordelÅrsagKode: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DLØBM: Dækningsløs betalingsmiddel (uden ny dækning)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DÆAFAK: Dækning skal ændres til andre fordringer på anden kunde (indbetaler bibeholdes)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DÆAFSK: Dækning skal ændres til andre fordringer på samme kunde(indbetaler bibeholdes)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DÆTIAO: Dækning tilbageføres til oprindelig kunde som følge af afvisning af ompostering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IOMRAK: Indbetalingen omregistreres til anden kunde, f.eks. ved registreringsfejl (en eventuel dækning ophæves)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TIFKON: Tilbageføres pga. konnekskrav</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FOMO - Fordring modtaget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MOSK - Skift fra Modregning til Inddrivelse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 - Skift fra opkrævning til inddrivelse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Nedenstående viser hvilken Transaktionstype der angives for de forskellige Årsagskoder.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FordringÅrsagAfskrivningKode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UDBETAL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DMIUdbetalingÅrsagKode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RenteGodtgørelseÅrsagKode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FORDRINGTI</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HovedFordringReturÅrsagKode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INDBETALDK - indbetaling dækning ændret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DMIIndbetalingFordelÅrsagKode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 fordring modtaget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DMITransaktionÅrsagTekst</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valg af årsagskode anden.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DMIUdbetalingBogførtDen</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Regnskabsgyldighedsdato som påføres af DMI.</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DMIUdbetalingEFIIndsatsID</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 i EFI der er anledning til udbetalingen.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DMIUdbetalingForm</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KONTA, CHECK, BANKO, NEMKO</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udgangspunkt udbetales alt til Nemkonto (det offentliges digitale udbetalingsmyndighed, der kender til virksomheders / personers bankkontonummer).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parter eller parter uden bankkonti, der ikke har en Nemkonto, kan få udbetalt via andre medier, fx. check eller bankoverførsel (hvis SKAT har deres bankkontooplysninger).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 NemKonto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DMIUdbetalingID</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udbetaling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DMIUdbetalingKontoNummer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til anvendelse for udbetaling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DMIUdbetalingKontoType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BANKO, NEMKO</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 NemKonto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DMIUdbetalingNote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udbetalingen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DMIUdbetalingNoteDato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begrundelsen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DMIUdbetalingStatus</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udbetaling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AFVENTGODK: Afventer godkendelse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AFVENTKONT: Afventer kontering til anden kunde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Afvist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Udbetalt via check</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EJINDLØST: Check ej indløst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FEJLET: Fejlet - udbetales via check</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GENNEMFØRT: Gennemført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 Godkendt til udbetaling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MASSEGODK: Massegodkendelse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NEMKAFS: Udbetaling sendt til NemKonto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DMIUdbetalingÅrsagBegr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udbetaling er foretaget.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DMIUdbetalingÅrsagKode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 FMEIND, FMELØN, IFAFT, IOMR</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årsag til udbetaling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 årsag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FMEIND: For meget indbetalt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FMELØN: For meget lønindeholdt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IFAFT: Ifølge aftale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IOMR: Indbetalingen omregistreres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DMIUdbetalingÅrsagTekst</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032: Realkreditinstitut (LFR)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FordringAfskrivningProcent</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 som fordringen skal er afskrevet med.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FordringHaverFordelingProcent</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have flere fordringshavere. Fordelingen af fordringen angives i procent. Denne procent anvendes også som fordelingen af fordringshavernes andel i en evt. indbetaling.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FordringStopSlut</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fordringsstoppet ophører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FordringStopStart</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fordringsstoppet gælder fra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FordringStopType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AFR</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fordring.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Afregningstop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FordringStopÅrsagBegr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FordringStopÅrsagKode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BORD, KLAG, </w:t>
            </w:r>
            <w:r>
              <w:rPr>
                <w:rFonts w:ascii="Arial" w:hAnsi="Arial" w:cs="Arial"/>
                <w:sz w:val="18"/>
              </w:rPr>
              <w:lastRenderedPageBreak/>
              <w:t>KLFH, AFSK, HENS, ANDN</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Sagsbehandler muligheder for valg mellem foruddefineret årsag til stop.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BORD: Betalingsordning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FordringStopÅrsagTekst</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ForventetIndbetalingID</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14</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forventede indbetaling.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HæftelseBasisDatoForBeregning</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beregner DMI HæftelseForældelseDato ud fra den fremsendte HæftelseBasisDatoForBeregning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HæftelseForældelseDatoAktiv</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den pågældende forældelsesdato er aktiv/inaktiv hhv. Ja/Nej</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HæftelseForældelseDatoID</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HæftelseForældelseÅrsagBegr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HæftelseForældelseÅrsagKode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indsats der har opdateret forældelsen. Angiver en kombination af indsatser og afgørelser mv. fx iværksættelse af lønindeholdelse eller ophør af henstand.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AFDO: Afsagt Dom</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ANAK: Anmeldelse ifm. rekonstruktion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ANDØ: Anmeldelse i dødsbo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ANEF: Anmodning om eftergivelse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ANFO: Anerkendelse af fordring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ANGS: Anmeldelse ved indledning af gældssanering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ANKO: Anmeldelse i konkursbo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ANPR: Anmeldelse efter at der er udstedt proklama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ANTV: Anmeldelse ifm. tvangsopløsning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ASRG: Afbrydelse ved særligt retsgrundlag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BOAS: Boets afslutning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BOSU: Bobehandling suspension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BOTI: Bobehandling tillægsfrist 1 år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DMIA: DMI Anden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EFKO: Konkret forældelsesdato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FDMI: modtaget uden forældelsesdato, beregnet af DMI</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FOIF: Forhandling afsluttet til fordringshavers fordel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FOIH: Forhandling afsluttet til hæfters fordel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FOIN: Forhandling indledt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FOKO: Konkret forældelsesdato fra fordringshaver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GÆKE: Gældssaneringskendelse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GUDL: Gennemførsels af udlæg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HEBV: Henstand bevilliget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HEUL: Henstand udløbet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INBO: Indbetaling på betalingsordning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INFO: Indgået Forlig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INKO: Indgivelse af konkursbegæring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IUDL: Indgivelse af anmodning om udlæg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KLFF: Klage over fordring afgjort til fordringhavers fordel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over fordring afgjort til hæfters fordel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KLFO: Klage over fordring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LØAN: Lønindeholdelse angivelse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LØIV: Lønindeholdelse iværksat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LØOP: Lønindeholdelse ophør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SLIV: S-løn iværksat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SLOP: S-løn ophør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SLAN: S-løn angivelse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ISBO: Indbetaling på S-betalingsordning.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ABFO: Absolut forældelsesfrist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KOPH: Kendt opholdssted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HæftelseForældelseÅrsagTekst</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Begrundelse for valg af årsag=Anden.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HæftelseKommentar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kommentar.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HæftelseModregningStopSlut</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stop  for modregning i en i fordring eller myndighedsudbetaling  ophører.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HæftelseModregningStopStart</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stop  for modregning i en i fordring eller myndighedsudbetaling  gælder fra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HæftelseModregningStopType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SMF, SMUMF</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SMF: Stop for modregning i fordring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SMUMF: Stop for en myndighedsudbetalings modregning i en fordring.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HæftelseModregningStopÅrsagBegr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HæftelseModrStopÅrsagBegr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HæftelseModregningStopÅrsagKode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KLAG, KLFH, HENS, BOMU, BOIU, ANDN</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 muligheder for valg mellem foruddefineret årsag til stop.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HæftelseModregningStopÅrsagTekst</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Uddybning af ÅrsagKode Anden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HæftelseModrStopÅrsagTekst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HæftelseModtagelseDato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 hvor hæftelsen er modtaget i EFI/MF.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Kan anvendes f.eks. Til at klarlægge et sagsforløb hvis SKAT ikke har nået at få fat i et aktiv hos en hæfter, fordi oplysninger om hæftelse ikke har været tilgænlige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HæftelseMåAfskrives</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hæftelsen automatisk må afskrives ved forældelse. Sættes via udvalgsregler implementeret i SKAT DW (ja=true).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HæftelseMåAfskrivesEfterDato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hvorefter hæftelsen må afskrives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HæftelseMåAfskrivesEfterDatoNote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markering for HæftelseMåAfskrives inkl. dato indsat (HæftelseMåAfskrivesEfterDato) noteres en kort begrundelse for at udsætte afskrivelsestidspunktet.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HæftelseMåForælde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Flaget angiver om hæftelsesforholdet må forælde (ja=true), eller om det ikke må forælde (nej=false). Hæftelsesforholdet må afskrives automatiske, når HæftelseMåForælde er sand og de øvrige regler for automatisk afskrivning opfyldt.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HæftelseRenteFritagAnnDato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annulering af rentefritagelse.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HæftelseRenteFritagID</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rentefritagelse.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HæftelseRenteFritagSlut</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rentefritagelse (rentestop)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HæftelseRenteFritagStart</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rentefritagelse (rentestop).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HæftelseRenteFritagStatusKode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AKT, ANNU</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på rentefritagelsen.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 Aktiv</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ANNU: Annulleret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HæftelseRenteFritagÅrsagKode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KLAG, KLFH, HENS, BOBE, BOSO, ANDN</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muligheder for valg mellem forud defineret årsager til rentefritagelse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 Klage videresendt til fordringshaver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 Henstand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BOBE: Bobehandling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BOSO: Bobehandling - Slutdato overvåges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HæftelseRenteFritagÅrsagKodeBegr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rentefritagelsen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HæftelseRenteFritagÅrsagTekst</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minLength: 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ÅrsagKode Anden for rentefritagelse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HæftelseStopSlut</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hæftelsesstoppet ophører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HæftelseStopStart</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hæftelsesstoppet gælder fra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HæftelseStopType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der angiver hvilket stop en sagsbehandler kan sætte på en hæftelse.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Udligningsstop kan være et almindelig udligningsstop eller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stop sat med flaget HæftelseUnderBobehnadling (hvor ja virker som udligningsstop)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Udligningstop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HæftelseStopÅrsagBegr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valg af StopÅrsagKode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HæftelseStopÅrsagKode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BORD, KLAG, KLFH, AFSK, HENS, AGOA, BOMU, BOIU, ANDN</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årsagen til et givet stop.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KLFH: Klage videresendt til fordringshaver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 Afventer evt. afskrivning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AGOA: Afventer godkendelse af afskrivning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BOMU: Bobehandling - Stop må udløbe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BOIU: Bobehandling - Stop må ikke udløbe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HæftelseStopÅrsagTekst</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ÅrsagKode Anden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HæftelseSubsiAutoAfskrivUdløb</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HæftelseSubsiStartDato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et subsidiært hæftelsesforhold er gældende fra og benyttes til DMI´s overvågning af den subsidiære hæftelse.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POT, POTS, REL, RELS, </w:t>
            </w:r>
            <w:r>
              <w:rPr>
                <w:rFonts w:ascii="Arial" w:hAnsi="Arial" w:cs="Arial"/>
                <w:sz w:val="18"/>
              </w:rPr>
              <w:lastRenderedPageBreak/>
              <w:t>SSLO, SÆGS, SAND</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Dette element angives kun for HæftelseForm = SUB</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REL: Reel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HæftelseUnderBobehandling</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LandNavn</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MyndighedUdbetalingPeriodeType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RenteSats</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08 Misligholdte studielån, slutlån og statslån (= Diskonto plus et tillæg 2 %)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TransportRettighedHaverForPrio</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TransportUdlægKorrektionDato</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 DMIFordringModtagelseDato første gang TransportUdlægsfordringen oprettes.Opdateres hver gang der sker ændring på transportUlægsfordringen.</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TransportUdlægVerificeres</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et flag hvor det angives at en transport/udlæg skal verificeres uanset øvrige parametre.</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skal verficeres</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E0B28" w:rsidTr="003E0B28">
        <w:tblPrEx>
          <w:tblCellMar>
            <w:top w:w="0" w:type="dxa"/>
            <w:bottom w:w="0" w:type="dxa"/>
          </w:tblCellMar>
        </w:tblPrEx>
        <w:tc>
          <w:tcPr>
            <w:tcW w:w="3401" w:type="dxa"/>
          </w:tcPr>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E0B28" w:rsidRPr="003E0B28" w:rsidRDefault="003E0B28" w:rsidP="003E0B2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E0B28" w:rsidRPr="003E0B28" w:rsidSect="003E0B28">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B28" w:rsidRDefault="003E0B28" w:rsidP="003E0B28">
      <w:pPr>
        <w:spacing w:line="240" w:lineRule="auto"/>
      </w:pPr>
      <w:r>
        <w:separator/>
      </w:r>
    </w:p>
  </w:endnote>
  <w:endnote w:type="continuationSeparator" w:id="0">
    <w:p w:rsidR="003E0B28" w:rsidRDefault="003E0B28" w:rsidP="003E0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28" w:rsidRDefault="003E0B2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28" w:rsidRPr="003E0B28" w:rsidRDefault="003E0B28" w:rsidP="003E0B2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2016</w:t>
    </w:r>
    <w:r>
      <w:rPr>
        <w:rFonts w:ascii="Arial" w:hAnsi="Arial" w:cs="Arial"/>
        <w:sz w:val="16"/>
      </w:rPr>
      <w:fldChar w:fldCharType="end"/>
    </w:r>
    <w:r>
      <w:rPr>
        <w:rFonts w:ascii="Arial" w:hAnsi="Arial" w:cs="Arial"/>
        <w:sz w:val="16"/>
      </w:rPr>
      <w:tab/>
    </w:r>
    <w:r>
      <w:rPr>
        <w:rFonts w:ascii="Arial" w:hAnsi="Arial" w:cs="Arial"/>
        <w:sz w:val="16"/>
      </w:rPr>
      <w:tab/>
      <w:t xml:space="preserve">DMIDWInterfaceIKKESERVICE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28" w:rsidRDefault="003E0B2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B28" w:rsidRDefault="003E0B28" w:rsidP="003E0B28">
      <w:pPr>
        <w:spacing w:line="240" w:lineRule="auto"/>
      </w:pPr>
      <w:r>
        <w:separator/>
      </w:r>
    </w:p>
  </w:footnote>
  <w:footnote w:type="continuationSeparator" w:id="0">
    <w:p w:rsidR="003E0B28" w:rsidRDefault="003E0B28" w:rsidP="003E0B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28" w:rsidRDefault="003E0B2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28" w:rsidRPr="003E0B28" w:rsidRDefault="003E0B28" w:rsidP="003E0B28">
    <w:pPr>
      <w:pStyle w:val="Sidehoved"/>
      <w:jc w:val="center"/>
      <w:rPr>
        <w:rFonts w:ascii="Arial" w:hAnsi="Arial" w:cs="Arial"/>
      </w:rPr>
    </w:pPr>
    <w:r w:rsidRPr="003E0B28">
      <w:rPr>
        <w:rFonts w:ascii="Arial" w:hAnsi="Arial" w:cs="Arial"/>
      </w:rPr>
      <w:t>Servicebeskrivelse</w:t>
    </w:r>
  </w:p>
  <w:p w:rsidR="003E0B28" w:rsidRPr="003E0B28" w:rsidRDefault="003E0B28" w:rsidP="003E0B2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28" w:rsidRDefault="003E0B2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28" w:rsidRPr="003E0B28" w:rsidRDefault="003E0B28" w:rsidP="003E0B28">
    <w:pPr>
      <w:pStyle w:val="Sidehoved"/>
      <w:jc w:val="center"/>
      <w:rPr>
        <w:rFonts w:ascii="Arial" w:hAnsi="Arial" w:cs="Arial"/>
      </w:rPr>
    </w:pPr>
    <w:r w:rsidRPr="003E0B28">
      <w:rPr>
        <w:rFonts w:ascii="Arial" w:hAnsi="Arial" w:cs="Arial"/>
      </w:rPr>
      <w:t>Datastrukturer</w:t>
    </w:r>
  </w:p>
  <w:p w:rsidR="003E0B28" w:rsidRPr="003E0B28" w:rsidRDefault="003E0B28" w:rsidP="003E0B2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28" w:rsidRDefault="003E0B28" w:rsidP="003E0B28">
    <w:pPr>
      <w:pStyle w:val="Sidehoved"/>
      <w:jc w:val="center"/>
      <w:rPr>
        <w:rFonts w:ascii="Arial" w:hAnsi="Arial" w:cs="Arial"/>
      </w:rPr>
    </w:pPr>
    <w:r>
      <w:rPr>
        <w:rFonts w:ascii="Arial" w:hAnsi="Arial" w:cs="Arial"/>
      </w:rPr>
      <w:t>Data elementer</w:t>
    </w:r>
  </w:p>
  <w:p w:rsidR="003E0B28" w:rsidRPr="003E0B28" w:rsidRDefault="003E0B28" w:rsidP="003E0B2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A23AB7"/>
    <w:multiLevelType w:val="multilevel"/>
    <w:tmpl w:val="7C3EE3D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28"/>
    <w:rsid w:val="003E0B28"/>
    <w:rsid w:val="00790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5E9E0-027D-4319-8829-0AC8127C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E0B2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E0B2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E0B2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E0B2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E0B2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E0B2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E0B2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E0B2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E0B2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E0B2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E0B2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E0B2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E0B2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E0B2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E0B2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E0B2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E0B2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E0B2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E0B2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E0B28"/>
    <w:rPr>
      <w:rFonts w:ascii="Arial" w:hAnsi="Arial" w:cs="Arial"/>
      <w:b/>
      <w:sz w:val="30"/>
    </w:rPr>
  </w:style>
  <w:style w:type="paragraph" w:customStyle="1" w:styleId="Overskrift211pkt">
    <w:name w:val="Overskrift 2 + 11 pkt"/>
    <w:basedOn w:val="Normal"/>
    <w:link w:val="Overskrift211pktTegn"/>
    <w:rsid w:val="003E0B2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E0B28"/>
    <w:rPr>
      <w:rFonts w:ascii="Arial" w:hAnsi="Arial" w:cs="Arial"/>
      <w:b/>
    </w:rPr>
  </w:style>
  <w:style w:type="paragraph" w:customStyle="1" w:styleId="Normal11">
    <w:name w:val="Normal + 11"/>
    <w:basedOn w:val="Normal"/>
    <w:link w:val="Normal11Tegn"/>
    <w:rsid w:val="003E0B2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E0B28"/>
    <w:rPr>
      <w:rFonts w:ascii="Times New Roman" w:hAnsi="Times New Roman" w:cs="Times New Roman"/>
    </w:rPr>
  </w:style>
  <w:style w:type="paragraph" w:styleId="Sidehoved">
    <w:name w:val="header"/>
    <w:basedOn w:val="Normal"/>
    <w:link w:val="SidehovedTegn"/>
    <w:uiPriority w:val="99"/>
    <w:unhideWhenUsed/>
    <w:rsid w:val="003E0B2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E0B28"/>
  </w:style>
  <w:style w:type="paragraph" w:styleId="Sidefod">
    <w:name w:val="footer"/>
    <w:basedOn w:val="Normal"/>
    <w:link w:val="SidefodTegn"/>
    <w:uiPriority w:val="99"/>
    <w:unhideWhenUsed/>
    <w:rsid w:val="003E0B28"/>
    <w:pPr>
      <w:tabs>
        <w:tab w:val="center" w:pos="4819"/>
        <w:tab w:val="right" w:pos="9638"/>
      </w:tabs>
      <w:spacing w:line="240" w:lineRule="auto"/>
    </w:pPr>
  </w:style>
  <w:style w:type="character" w:customStyle="1" w:styleId="SidefodTegn">
    <w:name w:val="Sidefod Tegn"/>
    <w:basedOn w:val="Standardskrifttypeiafsnit"/>
    <w:link w:val="Sidefod"/>
    <w:uiPriority w:val="99"/>
    <w:rsid w:val="003E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8312</Words>
  <Characters>50709</Characters>
  <Application>Microsoft Office Word</Application>
  <DocSecurity>0</DocSecurity>
  <Lines>422</Lines>
  <Paragraphs>117</Paragraphs>
  <ScaleCrop>false</ScaleCrop>
  <Company>skat</Company>
  <LinksUpToDate>false</LinksUpToDate>
  <CharactersWithSpaces>58904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2016-06-07T10:42:00Z</dcterms:created>
  <dcterms:modified xsi:type="dcterms:W3CDTF">2016-06-07T10:43:00Z</dcterms:modified>
</cp:coreProperties>
</file>