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B47A9" w:rsidTr="004B47A9">
        <w:tblPrEx>
          <w:tblCellMar>
            <w:top w:w="0" w:type="dxa"/>
            <w:bottom w:w="0" w:type="dxa"/>
          </w:tblCellMar>
        </w:tblPrEx>
        <w:trPr>
          <w:trHeight w:hRule="exact" w:val="113"/>
        </w:trPr>
        <w:tc>
          <w:tcPr>
            <w:tcW w:w="10345" w:type="dxa"/>
            <w:gridSpan w:val="6"/>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rPr>
          <w:trHeight w:val="283"/>
        </w:trPr>
        <w:tc>
          <w:tcPr>
            <w:tcW w:w="10345" w:type="dxa"/>
            <w:gridSpan w:val="6"/>
            <w:tcBorders>
              <w:bottom w:val="single" w:sz="6" w:space="0" w:color="auto"/>
            </w:tcBorders>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B47A9">
              <w:rPr>
                <w:rFonts w:ascii="Arial" w:hAnsi="Arial" w:cs="Arial"/>
                <w:b/>
                <w:sz w:val="30"/>
              </w:rPr>
              <w:t>IMSagsbehandlerHændelseModtag</w:t>
            </w:r>
          </w:p>
        </w:tc>
      </w:tr>
      <w:tr w:rsidR="004B47A9" w:rsidTr="004B47A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B47A9" w:rsidTr="004B47A9">
        <w:tblPrEx>
          <w:tblCellMar>
            <w:top w:w="0" w:type="dxa"/>
            <w:bottom w:w="0" w:type="dxa"/>
          </w:tblCellMar>
        </w:tblPrEx>
        <w:trPr>
          <w:trHeight w:val="283"/>
        </w:trPr>
        <w:tc>
          <w:tcPr>
            <w:tcW w:w="1134" w:type="dxa"/>
            <w:tcBorders>
              <w:top w:val="nil"/>
            </w:tcBorders>
            <w:shd w:val="clear" w:color="auto" w:fill="auto"/>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26-11-2010</w:t>
            </w:r>
          </w:p>
        </w:tc>
        <w:tc>
          <w:tcPr>
            <w:tcW w:w="1701" w:type="dxa"/>
            <w:tcBorders>
              <w:top w:val="nil"/>
            </w:tcBorders>
            <w:shd w:val="clear" w:color="auto" w:fill="auto"/>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4B47A9" w:rsidTr="004B47A9">
        <w:tblPrEx>
          <w:tblCellMar>
            <w:top w:w="0" w:type="dxa"/>
            <w:bottom w:w="0" w:type="dxa"/>
          </w:tblCellMar>
        </w:tblPrEx>
        <w:trPr>
          <w:trHeight w:val="283"/>
        </w:trPr>
        <w:tc>
          <w:tcPr>
            <w:tcW w:w="10345" w:type="dxa"/>
            <w:gridSpan w:val="6"/>
            <w:shd w:val="clear" w:color="auto" w:fill="B3B3B3"/>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B47A9" w:rsidTr="004B47A9">
        <w:tblPrEx>
          <w:tblCellMar>
            <w:top w:w="0" w:type="dxa"/>
            <w:bottom w:w="0" w:type="dxa"/>
          </w:tblCellMar>
        </w:tblPrEx>
        <w:trPr>
          <w:trHeight w:val="283"/>
        </w:trPr>
        <w:tc>
          <w:tcPr>
            <w:tcW w:w="10345" w:type="dxa"/>
            <w:gridSpan w:val="6"/>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Hændelsesmodtagerens ansvarsområde resulterer i følgende opgaver: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udstille publicering af aktuelle hændelser og oprettelse af fremtidige hændelser som services. [HH-016]</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kontrollere hændelsesproducenters autorisationen ift. hændelsestype.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At validere indkommende hændelsers syntaks ud fra deres hændelsestype.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dirigere aktuelle hændelser videre til Hændelsesfordeleren og fremtidige hændelser videre til Hændelsestimeren</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7A9" w:rsidTr="004B47A9">
        <w:tblPrEx>
          <w:tblCellMar>
            <w:top w:w="0" w:type="dxa"/>
            <w:bottom w:w="0" w:type="dxa"/>
          </w:tblCellMar>
        </w:tblPrEx>
        <w:trPr>
          <w:trHeight w:val="283"/>
        </w:trPr>
        <w:tc>
          <w:tcPr>
            <w:tcW w:w="10345" w:type="dxa"/>
            <w:gridSpan w:val="6"/>
            <w:shd w:val="clear" w:color="auto" w:fill="B3B3B3"/>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B47A9" w:rsidTr="004B47A9">
        <w:tblPrEx>
          <w:tblCellMar>
            <w:top w:w="0" w:type="dxa"/>
            <w:bottom w:w="0" w:type="dxa"/>
          </w:tblCellMar>
        </w:tblPrEx>
        <w:trPr>
          <w:trHeight w:val="283"/>
        </w:trPr>
        <w:tc>
          <w:tcPr>
            <w:tcW w:w="10345" w:type="dxa"/>
            <w:gridSpan w:val="6"/>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Inddrivelsesmotoren modtager samtlige hændelser og videresender dem til en kundes aktive indsatser. Enkelte hændelser har speciel indvirkning på Inddrivelsesmotoren og håndteres specielt. Hændelseshåndteringen er et transportlag for hændelser i EFI, som overholder et fælles metaformat. Se input.</w:t>
            </w:r>
          </w:p>
        </w:tc>
      </w:tr>
      <w:tr w:rsidR="004B47A9" w:rsidTr="004B47A9">
        <w:tblPrEx>
          <w:tblCellMar>
            <w:top w:w="0" w:type="dxa"/>
            <w:bottom w:w="0" w:type="dxa"/>
          </w:tblCellMar>
        </w:tblPrEx>
        <w:trPr>
          <w:trHeight w:val="283"/>
        </w:trPr>
        <w:tc>
          <w:tcPr>
            <w:tcW w:w="10345" w:type="dxa"/>
            <w:gridSpan w:val="6"/>
            <w:shd w:val="clear" w:color="auto" w:fill="B3B3B3"/>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4B47A9" w:rsidTr="004B47A9">
        <w:tblPrEx>
          <w:tblCellMar>
            <w:top w:w="0" w:type="dxa"/>
            <w:bottom w:w="0" w:type="dxa"/>
          </w:tblCellMar>
        </w:tblPrEx>
        <w:trPr>
          <w:trHeight w:val="283"/>
        </w:trPr>
        <w:tc>
          <w:tcPr>
            <w:tcW w:w="10345" w:type="dxa"/>
            <w:gridSpan w:val="6"/>
            <w:shd w:val="clear" w:color="auto" w:fill="FFFFFF"/>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Hændelseshåndteringen: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kommunikerer de forskellige delsystemer internt vha. hændelser. Inddrivelsesmotoren drives i høj grad på baggrund af hændelser fra hændelseshåndteringen, men der findes også andre indgange. Et eksempel er, at der i portalen er en række muligheder for at opdatere og vedligeholde inddrivelsesstrategien for specifikke kunder. Denne funktionalitet udstilles gennem webservices.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Generelt behandler inddrivelsesmotoren hændelser i den rækkefølge de er indløbet, hvor hændelser for en given kunde behandles sekventielt  Inddrivelsesmotoren modtager hændelser fra hændelseshåndteringskomponenten  igennem en synkron webservice, som inddrivelsesmotoren udstiller Herfra gemmes de modtaget hændelser i et lokalt hændelseslager for inddrivelsesmotoren. De modtagne hændelser grupperes for samme kunde i en sådan form at rækkefølgen overholdes for de enkelte kunder. Når en hændelse er persisteret returneres et SOAP-response med OK. Returneres der andet end dette response opfatter hændelseshåndteringen det som en fejl, hvorfor hændelseshåndteringen fremsender hændelsen på ny. Derfor findes der en kontrakt der siger, at motoren skal kunne processere enhver hændelse til succes. Hændelser plukkes af dispatcheren fra det interne hændelseslager og efter hver behandling af en hændelse undersøges det lokale hændelseslager om der findes flere hændelser til samme kunde. I givet fald behandles de i den rækkefølge de er indkommet. Ved fejl skal dispatcheren vente en konfigurerbar periode før der igen forsøger en levering. Vente perioden fordobles ved hvert forsøg.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kun en delmængde af alle hændelserne i EFI, der har relevans for inddrivelsesmotoren. Derfor abonnerer den kun på udvalgte hændelsestyper. Herved bortskæres hændelser man på forhånd kan definere, ikke vil være relevante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vil være en stor mængde hændelsestyper der relatere sig til indsatser. Dem vil inddrivelsesmotoren abonnere på, fordi indsatsafvikleren anvender dem til at udlede hvilke handlinger der skal udføres. Derudover abonneres der på følgende typer som vist: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Hændelsesnavn, Beskrivelse, Produceres af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StopForSporskifte: Hændelsen bevirker at der ikke må foretages sporskifte for kunden. Den er Produceres af sagsbehandlerportalen. Output: kundenummer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GenoptagSporskifte: Hændelsen bevirker at der igen må foretages sporskifte for kunden Produceres af sagsbehandlerportalen. Output: kundenummer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Scoring: Hændelsen indikerer at der skal foretages en sporanbefaling, som kan medføre en sporændring. Ved nye kunder er det denne hændelse der vil medføre at kunden bliver placeret på et spor og starter den automatiserede inddrivelse. Den er Produceres af scorekomponenten.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Scorekort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ScoreData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Sporanbefaling: Hændelsen bevirker at der forsøges at skifte sportype for den givne kunde. Hændelsen produceres af sagsbehandlerportalen og inddrivelsesmotoren på baggrund af en scoring. Produceres af sagsbehandlerportalen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Sportype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IndsatsStart: Hændelsen produceres af KFI i forbindelse med KFIIndsatsAsynkronStart. Hændelsen kan indeholde fordringer til den aktuelle indsats. Produceres af KFI.</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Hændelse til indsatser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Her beskrives hvordan inddrivelsesmotoren håndterer hændelser som skal kommunikeres videre til indsatsafvikleren.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Nogle hændelser har relevans for et spor. Hvorvidt en hændelse har relevans for et spor afgøres af Sporafvikler, ved at fremfinde sporet ud fra den kundereference som er indlejret i hændelsen. Referencerne på de aktive indsatser som er refereret fra sporet sendes videre til Indsatsafvikler. Indsatsafvikleren bruger referencerne til at finde indsatserne frem og signalere hændelsen til dem. Det er så op til indsatserne at afgøre hvorvidt hændelsen har relevans for dem i deres aktuelle tilstand.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Indsatsafvikler modtager indsatsreference og hændelse. Ud fra indsatsreferencen findes indsatsens tilstand, type og tilstandsregler. Ud fra tilstandsreglerne udledes om den pågældende hændelse resulterer i et kald til en bestemt aktivitetstype. Hvis hændelsen ingen konsekvenser har, returneres blot den aktuelle tilstand til Sporafvikler..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Endelig bruger Sporafvikler denne tilstand til at afgøre hvorvidt der skal igangsættes nye indsatser eller ej. Når der ikke er flere indsatser at igangsætte og sporet dermed har opnået sin endelige tilstand, for den givne hændelse, kaldes undersøgForSporskifte på Sportypevalg. Sporafvikler skifter kunden til den returnerede sportype, hvis den returnerede sportype er forskellig fra den aktuelle sportype, og persisterer sporet. </w:t>
            </w:r>
          </w:p>
        </w:tc>
      </w:tr>
      <w:tr w:rsidR="004B47A9" w:rsidTr="004B47A9">
        <w:tblPrEx>
          <w:tblCellMar>
            <w:top w:w="0" w:type="dxa"/>
            <w:bottom w:w="0" w:type="dxa"/>
          </w:tblCellMar>
        </w:tblPrEx>
        <w:trPr>
          <w:trHeight w:val="283"/>
        </w:trPr>
        <w:tc>
          <w:tcPr>
            <w:tcW w:w="10345" w:type="dxa"/>
            <w:gridSpan w:val="6"/>
            <w:shd w:val="clear" w:color="auto" w:fill="B3B3B3"/>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4B47A9" w:rsidTr="004B47A9">
        <w:tblPrEx>
          <w:tblCellMar>
            <w:top w:w="0" w:type="dxa"/>
            <w:bottom w:w="0" w:type="dxa"/>
          </w:tblCellMar>
        </w:tblPrEx>
        <w:trPr>
          <w:trHeight w:val="283"/>
        </w:trPr>
        <w:tc>
          <w:tcPr>
            <w:tcW w:w="10345" w:type="dxa"/>
            <w:gridSpan w:val="6"/>
            <w:shd w:val="clear" w:color="auto" w:fill="FFFFFF"/>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B47A9" w:rsidTr="004B47A9">
        <w:tblPrEx>
          <w:tblCellMar>
            <w:top w:w="0" w:type="dxa"/>
            <w:bottom w:w="0" w:type="dxa"/>
          </w:tblCellMar>
        </w:tblPrEx>
        <w:trPr>
          <w:trHeight w:val="283"/>
        </w:trPr>
        <w:tc>
          <w:tcPr>
            <w:tcW w:w="10345" w:type="dxa"/>
            <w:gridSpan w:val="6"/>
            <w:shd w:val="clear" w:color="auto" w:fill="FFFFFF"/>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IMSagsbehandlerHændelseModtag_I</w:t>
            </w:r>
          </w:p>
        </w:tc>
      </w:tr>
      <w:tr w:rsidR="004B47A9" w:rsidTr="004B47A9">
        <w:tblPrEx>
          <w:tblCellMar>
            <w:top w:w="0" w:type="dxa"/>
            <w:bottom w:w="0" w:type="dxa"/>
          </w:tblCellMar>
        </w:tblPrEx>
        <w:trPr>
          <w:trHeight w:val="283"/>
        </w:trPr>
        <w:tc>
          <w:tcPr>
            <w:tcW w:w="10345" w:type="dxa"/>
            <w:gridSpan w:val="6"/>
            <w:shd w:val="clear" w:color="auto" w:fill="FFFFFF"/>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4B47A9" w:rsidTr="004B47A9">
        <w:tblPrEx>
          <w:tblCellMar>
            <w:top w:w="0" w:type="dxa"/>
            <w:bottom w:w="0" w:type="dxa"/>
          </w:tblCellMar>
        </w:tblPrEx>
        <w:trPr>
          <w:trHeight w:val="283"/>
        </w:trPr>
        <w:tc>
          <w:tcPr>
            <w:tcW w:w="10345" w:type="dxa"/>
            <w:gridSpan w:val="6"/>
            <w:shd w:val="clear" w:color="auto" w:fill="FFFFFF"/>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B47A9" w:rsidTr="004B47A9">
        <w:tblPrEx>
          <w:tblCellMar>
            <w:top w:w="0" w:type="dxa"/>
            <w:bottom w:w="0" w:type="dxa"/>
          </w:tblCellMar>
        </w:tblPrEx>
        <w:trPr>
          <w:trHeight w:val="283"/>
        </w:trPr>
        <w:tc>
          <w:tcPr>
            <w:tcW w:w="10345" w:type="dxa"/>
            <w:gridSpan w:val="6"/>
            <w:shd w:val="clear" w:color="auto" w:fill="FFFFFF"/>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IMSagsbehandlerHændelseModtag_O</w:t>
            </w:r>
          </w:p>
        </w:tc>
      </w:tr>
      <w:tr w:rsidR="004B47A9" w:rsidTr="004B47A9">
        <w:tblPrEx>
          <w:tblCellMar>
            <w:top w:w="0" w:type="dxa"/>
            <w:bottom w:w="0" w:type="dxa"/>
          </w:tblCellMar>
        </w:tblPrEx>
        <w:trPr>
          <w:trHeight w:val="283"/>
        </w:trPr>
        <w:tc>
          <w:tcPr>
            <w:tcW w:w="10345" w:type="dxa"/>
            <w:gridSpan w:val="6"/>
            <w:shd w:val="clear" w:color="auto" w:fill="FFFFFF"/>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B47A9" w:rsidSect="004B47A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7A9" w:rsidTr="004B47A9">
        <w:tblPrEx>
          <w:tblCellMar>
            <w:top w:w="0" w:type="dxa"/>
            <w:bottom w:w="0" w:type="dxa"/>
          </w:tblCellMar>
        </w:tblPrEx>
        <w:tc>
          <w:tcPr>
            <w:tcW w:w="10345" w:type="dxa"/>
            <w:shd w:val="clear" w:color="auto" w:fill="B3B3B3"/>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B47A9" w:rsidTr="004B47A9">
        <w:tblPrEx>
          <w:tblCellMar>
            <w:top w:w="0" w:type="dxa"/>
            <w:bottom w:w="0" w:type="dxa"/>
          </w:tblCellMar>
        </w:tblPrEx>
        <w:tc>
          <w:tcPr>
            <w:tcW w:w="10345" w:type="dxa"/>
            <w:shd w:val="clear" w:color="auto" w:fill="FFFFFF"/>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B47A9" w:rsidTr="004B47A9">
        <w:tblPrEx>
          <w:tblCellMar>
            <w:top w:w="0" w:type="dxa"/>
            <w:bottom w:w="0" w:type="dxa"/>
          </w:tblCellMar>
        </w:tblPrEx>
        <w:tc>
          <w:tcPr>
            <w:tcW w:w="10345" w:type="dxa"/>
            <w:shd w:val="clear" w:color="auto" w:fill="B3B3B3"/>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4B47A9" w:rsidTr="004B47A9">
        <w:tblPrEx>
          <w:tblCellMar>
            <w:top w:w="0" w:type="dxa"/>
            <w:bottom w:w="0" w:type="dxa"/>
          </w:tblCellMar>
        </w:tblPrEx>
        <w:tc>
          <w:tcPr>
            <w:tcW w:w="10345" w:type="dxa"/>
            <w:shd w:val="clear" w:color="auto" w:fill="FFFFFF"/>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4B47A9" w:rsidTr="004B47A9">
        <w:tblPrEx>
          <w:tblCellMar>
            <w:top w:w="0" w:type="dxa"/>
            <w:bottom w:w="0" w:type="dxa"/>
          </w:tblCellMar>
        </w:tblPrEx>
        <w:trPr>
          <w:trHeight w:hRule="exact" w:val="113"/>
        </w:trPr>
        <w:tc>
          <w:tcPr>
            <w:tcW w:w="10345" w:type="dxa"/>
            <w:shd w:val="clear" w:color="auto" w:fill="B3B3B3"/>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47A9" w:rsidTr="004B47A9">
        <w:tblPrEx>
          <w:tblCellMar>
            <w:top w:w="0" w:type="dxa"/>
            <w:bottom w:w="0" w:type="dxa"/>
          </w:tblCellMar>
        </w:tblPrEx>
        <w:tc>
          <w:tcPr>
            <w:tcW w:w="10345" w:type="dxa"/>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4B47A9" w:rsidTr="004B47A9">
        <w:tblPrEx>
          <w:tblCellMar>
            <w:top w:w="0" w:type="dxa"/>
            <w:bottom w:w="0" w:type="dxa"/>
          </w:tblCellMar>
        </w:tblPrEx>
        <w:tc>
          <w:tcPr>
            <w:tcW w:w="10345" w:type="dxa"/>
            <w:vAlign w:val="center"/>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B47A9" w:rsidSect="004B47A9">
          <w:headerReference w:type="default" r:id="rId14"/>
          <w:pgSz w:w="11906" w:h="16838"/>
          <w:pgMar w:top="567" w:right="567" w:bottom="567" w:left="1134" w:header="283" w:footer="708" w:gutter="0"/>
          <w:cols w:space="708"/>
          <w:docGrid w:linePitch="360"/>
        </w:sect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B47A9" w:rsidTr="004B47A9">
        <w:tblPrEx>
          <w:tblCellMar>
            <w:top w:w="0" w:type="dxa"/>
            <w:bottom w:w="0" w:type="dxa"/>
          </w:tblCellMar>
        </w:tblPrEx>
        <w:trPr>
          <w:tblHeader/>
        </w:trPr>
        <w:tc>
          <w:tcPr>
            <w:tcW w:w="3402" w:type="dxa"/>
            <w:shd w:val="clear" w:color="auto" w:fill="B3B3B3"/>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REKONSTRUKTION, KREDITORORDNING, KONKURS_SELSKABER, KONKURS_PERSON, GÆLDSSANERING, DØDSBO, EFTERGIVELSE, TVANGSOPLØSNING, INDGIVELSE_KONKURSBEGÆRING</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BobehandlingKontaktLinie3</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ændret udløb</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BobehandlingUdløbDato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FordringID tildeles i EFI eller i DMI ud fra separate nummerserier.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DPDokumentRefID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44</w:t>
            </w:r>
            <w:r>
              <w:rPr>
                <w:rFonts w:ascii="Arial" w:hAnsi="Arial" w:cs="Arial"/>
                <w:sz w:val="18"/>
              </w:rPr>
              <w:tab/>
              <w:t>Amt</w:t>
            </w:r>
            <w:r>
              <w:rPr>
                <w:rFonts w:ascii="Arial" w:hAnsi="Arial" w:cs="Arial"/>
                <w:sz w:val="18"/>
              </w:rPr>
              <w:tab/>
              <w:t>OA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TELEFON, BREV, PERSONLIG, </w:t>
            </w:r>
            <w:r>
              <w:rPr>
                <w:rFonts w:ascii="Arial" w:hAnsi="Arial" w:cs="Arial"/>
                <w:sz w:val="18"/>
              </w:rPr>
              <w:lastRenderedPageBreak/>
              <w:t>MAIL, FAX, ANDEN</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w:t>
            </w:r>
            <w:r>
              <w:rPr>
                <w:rFonts w:ascii="Arial" w:hAnsi="Arial" w:cs="Arial"/>
                <w:sz w:val="18"/>
              </w:rPr>
              <w:lastRenderedPageBreak/>
              <w:t>BetOrdMislighol, BetOrdOprettet, BladAenUdl, 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w:t>
            </w:r>
            <w:r>
              <w:rPr>
                <w:rFonts w:ascii="Arial" w:hAnsi="Arial" w:cs="Arial"/>
                <w:sz w:val="18"/>
              </w:rPr>
              <w:lastRenderedPageBreak/>
              <w:t>Sluttes, LoenFOCheckForEskatteKort, 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BetalEvneSteget: Udsendes når betalingsevnen steget er 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LoenFOVarselGyldighedsperiodeLoenUdloebet:FristOverskredet: Varselsgyldighedsperiode af lønindeholdelse </w:t>
            </w:r>
            <w:r>
              <w:rPr>
                <w:rFonts w:ascii="Arial" w:hAnsi="Arial" w:cs="Arial"/>
                <w:sz w:val="18"/>
              </w:rPr>
              <w:lastRenderedPageBreak/>
              <w:t>udløbet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EFILønIndeholdelseNyProcent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et dokument (hæftelse, adkomst eller servitut) unikt hos domstolsstyrelsen.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ETLDokumentRevisionIdentifikator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ForventetIndbetalingSRBDato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IndsatsStopBegrundelse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ISO-standard, som hentes/valideres i </w:t>
            </w:r>
            <w:r>
              <w:rPr>
                <w:rFonts w:ascii="Arial" w:hAnsi="Arial" w:cs="Arial"/>
                <w:sz w:val="18"/>
              </w:rPr>
              <w:lastRenderedPageBreak/>
              <w:t>Erhvervssystemets værdisæt for Lande, = elementet Land_nvn_kort.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der entydigt identificerer de for SKAT relevante myndigheder. Nummeret er 4-ciftret og tildeles af Indenrigsministeriet.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RykkerÆndringBegrundelse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UdlægForetagetHosSKAT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UDLRESGF, UDLRESDF, </w:t>
            </w:r>
            <w:r>
              <w:rPr>
                <w:rFonts w:ascii="Arial" w:hAnsi="Arial" w:cs="Arial"/>
                <w:sz w:val="18"/>
              </w:rPr>
              <w:lastRenderedPageBreak/>
              <w:t>UDLRESFD, UDLRESKLA</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6</w:t>
            </w:r>
          </w:p>
        </w:tc>
        <w:tc>
          <w:tcPr>
            <w:tcW w:w="4671"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valutakurs der er anvendt til omregning</w:t>
            </w:r>
          </w:p>
        </w:tc>
      </w:tr>
      <w:tr w:rsidR="004B47A9" w:rsidTr="004B47A9">
        <w:tblPrEx>
          <w:tblCellMar>
            <w:top w:w="0" w:type="dxa"/>
            <w:bottom w:w="0" w:type="dxa"/>
          </w:tblCellMar>
        </w:tblPrEx>
        <w:tc>
          <w:tcPr>
            <w:tcW w:w="3402" w:type="dxa"/>
          </w:tcPr>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4B47A9" w:rsidRPr="004B47A9" w:rsidRDefault="004B47A9" w:rsidP="004B47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B47A9" w:rsidRPr="004B47A9" w:rsidSect="004B47A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7A9" w:rsidRDefault="004B47A9" w:rsidP="004B47A9">
      <w:pPr>
        <w:spacing w:line="240" w:lineRule="auto"/>
      </w:pPr>
      <w:r>
        <w:separator/>
      </w:r>
    </w:p>
  </w:endnote>
  <w:endnote w:type="continuationSeparator" w:id="0">
    <w:p w:rsidR="004B47A9" w:rsidRDefault="004B47A9" w:rsidP="004B47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7A9" w:rsidRDefault="004B47A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7A9" w:rsidRPr="004B47A9" w:rsidRDefault="004B47A9" w:rsidP="004B47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IMSagsbehandlerHændelseModtag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7A9" w:rsidRDefault="004B47A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7A9" w:rsidRDefault="004B47A9" w:rsidP="004B47A9">
      <w:pPr>
        <w:spacing w:line="240" w:lineRule="auto"/>
      </w:pPr>
      <w:r>
        <w:separator/>
      </w:r>
    </w:p>
  </w:footnote>
  <w:footnote w:type="continuationSeparator" w:id="0">
    <w:p w:rsidR="004B47A9" w:rsidRDefault="004B47A9" w:rsidP="004B47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7A9" w:rsidRDefault="004B47A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7A9" w:rsidRPr="004B47A9" w:rsidRDefault="004B47A9" w:rsidP="004B47A9">
    <w:pPr>
      <w:pStyle w:val="Sidehoved"/>
      <w:jc w:val="center"/>
      <w:rPr>
        <w:rFonts w:ascii="Arial" w:hAnsi="Arial" w:cs="Arial"/>
      </w:rPr>
    </w:pPr>
    <w:r w:rsidRPr="004B47A9">
      <w:rPr>
        <w:rFonts w:ascii="Arial" w:hAnsi="Arial" w:cs="Arial"/>
      </w:rPr>
      <w:t>Servicebeskrivelse</w:t>
    </w:r>
  </w:p>
  <w:p w:rsidR="004B47A9" w:rsidRPr="004B47A9" w:rsidRDefault="004B47A9" w:rsidP="004B47A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7A9" w:rsidRDefault="004B47A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7A9" w:rsidRPr="004B47A9" w:rsidRDefault="004B47A9" w:rsidP="004B47A9">
    <w:pPr>
      <w:pStyle w:val="Sidehoved"/>
      <w:jc w:val="center"/>
      <w:rPr>
        <w:rFonts w:ascii="Arial" w:hAnsi="Arial" w:cs="Arial"/>
      </w:rPr>
    </w:pPr>
    <w:r w:rsidRPr="004B47A9">
      <w:rPr>
        <w:rFonts w:ascii="Arial" w:hAnsi="Arial" w:cs="Arial"/>
      </w:rPr>
      <w:t>Datastrukturer</w:t>
    </w:r>
  </w:p>
  <w:p w:rsidR="004B47A9" w:rsidRPr="004B47A9" w:rsidRDefault="004B47A9" w:rsidP="004B47A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47A9" w:rsidRDefault="004B47A9" w:rsidP="004B47A9">
    <w:pPr>
      <w:pStyle w:val="Sidehoved"/>
      <w:jc w:val="center"/>
      <w:rPr>
        <w:rFonts w:ascii="Arial" w:hAnsi="Arial" w:cs="Arial"/>
      </w:rPr>
    </w:pPr>
    <w:r>
      <w:rPr>
        <w:rFonts w:ascii="Arial" w:hAnsi="Arial" w:cs="Arial"/>
      </w:rPr>
      <w:t>Data elementer</w:t>
    </w:r>
  </w:p>
  <w:p w:rsidR="004B47A9" w:rsidRPr="004B47A9" w:rsidRDefault="004B47A9" w:rsidP="004B47A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16D2F"/>
    <w:multiLevelType w:val="multilevel"/>
    <w:tmpl w:val="082E27F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47A9"/>
    <w:rsid w:val="004B47A9"/>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B47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B47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B47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B47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B47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B47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B47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B47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B47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B47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B47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B47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B47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B47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B47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B47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B47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B47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B47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B47A9"/>
    <w:rPr>
      <w:rFonts w:ascii="Arial" w:hAnsi="Arial" w:cs="Arial"/>
      <w:b/>
      <w:sz w:val="30"/>
    </w:rPr>
  </w:style>
  <w:style w:type="paragraph" w:customStyle="1" w:styleId="Overskrift211pkt">
    <w:name w:val="Overskrift 2 + 11 pkt"/>
    <w:basedOn w:val="Normal"/>
    <w:link w:val="Overskrift211pktTegn"/>
    <w:rsid w:val="004B47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B47A9"/>
    <w:rPr>
      <w:rFonts w:ascii="Arial" w:hAnsi="Arial" w:cs="Arial"/>
      <w:b/>
    </w:rPr>
  </w:style>
  <w:style w:type="paragraph" w:customStyle="1" w:styleId="Normal11">
    <w:name w:val="Normal + 11"/>
    <w:basedOn w:val="Normal"/>
    <w:link w:val="Normal11Tegn"/>
    <w:rsid w:val="004B47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B47A9"/>
    <w:rPr>
      <w:rFonts w:ascii="Times New Roman" w:hAnsi="Times New Roman" w:cs="Times New Roman"/>
    </w:rPr>
  </w:style>
  <w:style w:type="paragraph" w:styleId="Sidehoved">
    <w:name w:val="header"/>
    <w:basedOn w:val="Normal"/>
    <w:link w:val="SidehovedTegn"/>
    <w:uiPriority w:val="99"/>
    <w:unhideWhenUsed/>
    <w:rsid w:val="004B47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B47A9"/>
  </w:style>
  <w:style w:type="paragraph" w:styleId="Sidefod">
    <w:name w:val="footer"/>
    <w:basedOn w:val="Normal"/>
    <w:link w:val="SidefodTegn"/>
    <w:uiPriority w:val="99"/>
    <w:unhideWhenUsed/>
    <w:rsid w:val="004B47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4B47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B47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B47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B47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B47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B47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B47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B47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B47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B47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B47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B47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B47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B47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B47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B47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B47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B47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B47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B47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B47A9"/>
    <w:rPr>
      <w:rFonts w:ascii="Arial" w:hAnsi="Arial" w:cs="Arial"/>
      <w:b/>
      <w:sz w:val="30"/>
    </w:rPr>
  </w:style>
  <w:style w:type="paragraph" w:customStyle="1" w:styleId="Overskrift211pkt">
    <w:name w:val="Overskrift 2 + 11 pkt"/>
    <w:basedOn w:val="Normal"/>
    <w:link w:val="Overskrift211pktTegn"/>
    <w:rsid w:val="004B47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B47A9"/>
    <w:rPr>
      <w:rFonts w:ascii="Arial" w:hAnsi="Arial" w:cs="Arial"/>
      <w:b/>
    </w:rPr>
  </w:style>
  <w:style w:type="paragraph" w:customStyle="1" w:styleId="Normal11">
    <w:name w:val="Normal + 11"/>
    <w:basedOn w:val="Normal"/>
    <w:link w:val="Normal11Tegn"/>
    <w:rsid w:val="004B47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B47A9"/>
    <w:rPr>
      <w:rFonts w:ascii="Times New Roman" w:hAnsi="Times New Roman" w:cs="Times New Roman"/>
    </w:rPr>
  </w:style>
  <w:style w:type="paragraph" w:styleId="Sidehoved">
    <w:name w:val="header"/>
    <w:basedOn w:val="Normal"/>
    <w:link w:val="SidehovedTegn"/>
    <w:uiPriority w:val="99"/>
    <w:unhideWhenUsed/>
    <w:rsid w:val="004B47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B47A9"/>
  </w:style>
  <w:style w:type="paragraph" w:styleId="Sidefod">
    <w:name w:val="footer"/>
    <w:basedOn w:val="Normal"/>
    <w:link w:val="SidefodTegn"/>
    <w:uiPriority w:val="99"/>
    <w:unhideWhenUsed/>
    <w:rsid w:val="004B47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4B4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8734</Words>
  <Characters>53278</Characters>
  <Application>Microsoft Office Word</Application>
  <DocSecurity>0</DocSecurity>
  <Lines>443</Lines>
  <Paragraphs>123</Paragraphs>
  <ScaleCrop>false</ScaleCrop>
  <Company>SKAT</Company>
  <LinksUpToDate>false</LinksUpToDate>
  <CharactersWithSpaces>61889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2012-01-31T15:48:00Z</dcterms:created>
  <dcterms:modified xsi:type="dcterms:W3CDTF">2012-01-31T15:50:00Z</dcterms:modified>
</cp:coreProperties>
</file>