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16E8E" w:rsidTr="00D16E8E">
        <w:tblPrEx>
          <w:tblCellMar>
            <w:top w:w="0" w:type="dxa"/>
            <w:bottom w:w="0" w:type="dxa"/>
          </w:tblCellMar>
        </w:tblPrEx>
        <w:trPr>
          <w:trHeight w:hRule="exact" w:val="113"/>
        </w:trPr>
        <w:tc>
          <w:tcPr>
            <w:tcW w:w="10345" w:type="dxa"/>
            <w:gridSpan w:val="6"/>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rPr>
          <w:trHeight w:val="283"/>
        </w:trPr>
        <w:tc>
          <w:tcPr>
            <w:tcW w:w="10345" w:type="dxa"/>
            <w:gridSpan w:val="6"/>
            <w:tcBorders>
              <w:bottom w:val="single" w:sz="6" w:space="0" w:color="auto"/>
            </w:tcBorders>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16E8E">
              <w:rPr>
                <w:rFonts w:ascii="Arial" w:hAnsi="Arial" w:cs="Arial"/>
                <w:b/>
                <w:sz w:val="30"/>
              </w:rPr>
              <w:t>DMIBetalingOrdningOpret</w:t>
            </w:r>
          </w:p>
        </w:tc>
      </w:tr>
      <w:tr w:rsidR="00D16E8E" w:rsidTr="00D16E8E">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16E8E" w:rsidTr="00D16E8E">
        <w:tblPrEx>
          <w:tblCellMar>
            <w:top w:w="0" w:type="dxa"/>
            <w:bottom w:w="0" w:type="dxa"/>
          </w:tblCellMar>
        </w:tblPrEx>
        <w:trPr>
          <w:trHeight w:val="283"/>
        </w:trPr>
        <w:tc>
          <w:tcPr>
            <w:tcW w:w="1134"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w:t>
            </w:r>
          </w:p>
        </w:tc>
        <w:tc>
          <w:tcPr>
            <w:tcW w:w="2835"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Debitormotor_EFI_1_8_1</w:t>
            </w:r>
          </w:p>
        </w:tc>
        <w:tc>
          <w:tcPr>
            <w:tcW w:w="1134"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w:t>
            </w:r>
          </w:p>
        </w:tc>
        <w:tc>
          <w:tcPr>
            <w:tcW w:w="1701"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6-11-2009</w:t>
            </w:r>
          </w:p>
        </w:tc>
        <w:tc>
          <w:tcPr>
            <w:tcW w:w="1701"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16E8E" w:rsidTr="00D16E8E">
        <w:tblPrEx>
          <w:tblCellMar>
            <w:top w:w="0" w:type="dxa"/>
            <w:bottom w:w="0" w:type="dxa"/>
          </w:tblCellMar>
        </w:tblPrEx>
        <w:trPr>
          <w:trHeight w:val="283"/>
        </w:trPr>
        <w:tc>
          <w:tcPr>
            <w:tcW w:w="10345" w:type="dxa"/>
            <w:gridSpan w:val="6"/>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har ansvaret for at oprette/iværksætte en betalingsordning i DMI</w:t>
            </w: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16E8E" w:rsidTr="00D16E8E">
        <w:tblPrEx>
          <w:tblCellMar>
            <w:top w:w="0" w:type="dxa"/>
            <w:bottom w:w="0" w:type="dxa"/>
          </w:tblCellMar>
        </w:tblPrEx>
        <w:trPr>
          <w:trHeight w:val="283"/>
        </w:trPr>
        <w:tc>
          <w:tcPr>
            <w:tcW w:w="10345" w:type="dxa"/>
            <w:gridSpan w:val="6"/>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forventer en rateplan. Denne kan eventuelt genereres med servicen DMIBetalingOrdningBeregn.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16E8E" w:rsidTr="00D16E8E">
        <w:tblPrEx>
          <w:tblCellMar>
            <w:top w:w="0" w:type="dxa"/>
            <w:bottom w:w="0" w:type="dxa"/>
          </w:tblCellMar>
        </w:tblPrEx>
        <w:trPr>
          <w:trHeight w:val="283"/>
        </w:trPr>
        <w:tc>
          <w:tcPr>
            <w:tcW w:w="10345" w:type="dxa"/>
            <w:gridSpan w:val="6"/>
            <w:shd w:val="clear" w:color="auto" w:fill="FFFFFF"/>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opretter en betalingsordning for en kunde i SKAT.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Betalingsordningen i DMI kan inkludere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Fordringer uanset om kunden selv hæfter for dem.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Opkrævningsfordringer. Typisk er det et kundeønske at få overført opkrævningsfordringer til RIM, så de kan indgå i en samlet betalingsordning.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Betalingsordningens rater kan betales af en anden end kunden selv, idet en anden person ønsker at stå for betalingen af kundens betalingsordning. Denne anden person optræder som en Alternativ Indbetaler. DMI vil  oprette  en kundekonto for den alternative indbetaler, således at indbetalinger og udbetalinger kan placeres korrekt.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oprettelse af betalingsordningen skal der kunne sendes en brev (f.eks. afgørelse eller underretning) til kunden. EFI sender brevet.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betalingsordningen er iværksat i forbindelse med bosag eller af et spor, vil dette fremgå af servicekaldet.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Kunden/sagsbehandleren har mulighed for at angive følgende, som i givne tilfælde vil blive medsendt servicekaldet: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Betalingsaftale (BS hos PBS)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Påmindelse (Ja/Nej)</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Dækningsrækkefølge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 IndsatsID til brug for aktering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Ryk for rater (Ja/Nej)</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Girokort udsendes x antal dage før SRB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forsendelsesadresse til girokort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 indbetaler og angivelse af hvem, der skal have udbetalt et evt overskydende 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Dækningsrækkefølgen står som optionel idet sagsbehandler kan benytte løsningens rangorden.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fordringer kan dækkes i rangorden, men kan inden for rangorden også deles ud med en procentdel eller et beløb af en indbetaling.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 indbetaler: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henter de oplysninger som er tilgængelige om den alternative indbetaler (i lighed med ModtagFordring) således at den alternative indbetaler kan oprettes som kunde i DMI.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BetalingOrdningBSMarkering er sat til ja, skal BetalingOrdningKundeBankRegNr og BetalingOrdningKundeBankKonto udfyldes.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 er ikke den AlternativIndbetaler's adresse, men en alternativ forsendelsesadresse til brug for udsendelse af girokort.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sætter BetalingOrdningStatusKode til inaktiv eller aktiv. Inaktiv anvendes hvis betalingsordningen ikke ønskes afviklet med det samme. En aktiv betalingsordning bliver tilmeldt Nets, hvorefter modtager rateopkrævninger eller betaler via betalingsservice.</w:t>
            </w: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16E8E" w:rsidTr="00D16E8E">
        <w:tblPrEx>
          <w:tblCellMar>
            <w:top w:w="0" w:type="dxa"/>
            <w:bottom w:w="0" w:type="dxa"/>
          </w:tblCellMar>
        </w:tblPrEx>
        <w:trPr>
          <w:trHeight w:val="283"/>
        </w:trPr>
        <w:tc>
          <w:tcPr>
            <w:tcW w:w="10345" w:type="dxa"/>
            <w:gridSpan w:val="6"/>
            <w:shd w:val="clear" w:color="auto" w:fill="FFFFFF"/>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16E8E" w:rsidTr="00D16E8E">
        <w:tblPrEx>
          <w:tblCellMar>
            <w:top w:w="0" w:type="dxa"/>
            <w:bottom w:w="0" w:type="dxa"/>
          </w:tblCellMar>
        </w:tblPrEx>
        <w:trPr>
          <w:trHeight w:val="283"/>
        </w:trPr>
        <w:tc>
          <w:tcPr>
            <w:tcW w:w="10345" w:type="dxa"/>
            <w:gridSpan w:val="6"/>
            <w:shd w:val="clear" w:color="auto" w:fill="FFFFFF"/>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DMIBetalingOrdningOpret_I</w:t>
            </w:r>
          </w:p>
        </w:tc>
      </w:tr>
      <w:tr w:rsidR="00D16E8E" w:rsidTr="00D16E8E">
        <w:tblPrEx>
          <w:tblCellMar>
            <w:top w:w="0" w:type="dxa"/>
            <w:bottom w:w="0" w:type="dxa"/>
          </w:tblCellMar>
        </w:tblPrEx>
        <w:trPr>
          <w:trHeight w:val="283"/>
        </w:trPr>
        <w:tc>
          <w:tcPr>
            <w:tcW w:w="10345" w:type="dxa"/>
            <w:gridSpan w:val="6"/>
            <w:shd w:val="clear" w:color="auto" w:fill="FFFFFF"/>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BetalingordningOplysninger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DMIIndberetterOpretStruktur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BetalingOrdningStart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(BetalingOrdningSlut)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AlternativIndbetaler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BetalingOrdningUdbAlternIndb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BetalingOrdningType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BetalingOrdningErstatterID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BetalingOrdningStatus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BetalingOrdningStatusÅrsagKodeStruktur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(BetalingOrdningBeløbStruktur)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BetalingOrdningBSMarkering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BetalingOrdningRykRateGebyr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(BetalingOrdningKundeBankRegNr)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(BetalingOrdningKundeBankKonto)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BetalingOrdningPåmind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BetalingOrdningSendMeddelelse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BetalingOrdningOpsatAfSpor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(BetalingOrdningGiroSendFørSRB)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(ForventetIndbetalingHændelse)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RatePlanListe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RatePlan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Rate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(BetalingOrdningOpretRateIndeks)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BetalingOrdningRateBeløbStruktur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BetalingOrdningRateSRBDato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(ForventetIndbetalingHændelse)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BetalingOrdningRateStatus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BetalingOrdningRateStatusKode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BetalingOrdningRateÅrsStruktur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(BetalingOrdningDækPriorit)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BetalingOrdningValg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Procentandel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BetalingOrdningDækProcent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DækningRækkefølgeBeløbStruktur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E8E" w:rsidTr="00D16E8E">
        <w:tblPrEx>
          <w:tblCellMar>
            <w:top w:w="0" w:type="dxa"/>
            <w:bottom w:w="0" w:type="dxa"/>
          </w:tblCellMar>
        </w:tblPrEx>
        <w:trPr>
          <w:trHeight w:val="283"/>
        </w:trPr>
        <w:tc>
          <w:tcPr>
            <w:tcW w:w="10345" w:type="dxa"/>
            <w:gridSpan w:val="6"/>
            <w:shd w:val="clear" w:color="auto" w:fill="FFFFFF"/>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16E8E" w:rsidTr="00D16E8E">
        <w:tblPrEx>
          <w:tblCellMar>
            <w:top w:w="0" w:type="dxa"/>
            <w:bottom w:w="0" w:type="dxa"/>
          </w:tblCellMar>
        </w:tblPrEx>
        <w:trPr>
          <w:trHeight w:val="283"/>
        </w:trPr>
        <w:tc>
          <w:tcPr>
            <w:tcW w:w="10345" w:type="dxa"/>
            <w:gridSpan w:val="6"/>
            <w:shd w:val="clear" w:color="auto" w:fill="FFFFFF"/>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DMIBetalingOrdningOpret_O</w:t>
            </w:r>
          </w:p>
        </w:tc>
      </w:tr>
      <w:tr w:rsidR="00D16E8E" w:rsidTr="00D16E8E">
        <w:tblPrEx>
          <w:tblCellMar>
            <w:top w:w="0" w:type="dxa"/>
            <w:bottom w:w="0" w:type="dxa"/>
          </w:tblCellMar>
        </w:tblPrEx>
        <w:trPr>
          <w:trHeight w:val="283"/>
        </w:trPr>
        <w:tc>
          <w:tcPr>
            <w:tcW w:w="10345" w:type="dxa"/>
            <w:gridSpan w:val="6"/>
            <w:shd w:val="clear" w:color="auto" w:fill="FFFFFF"/>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Svar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BetalingOrdningID</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16E8E" w:rsidTr="00D16E8E">
        <w:tblPrEx>
          <w:tblCellMar>
            <w:top w:w="0" w:type="dxa"/>
            <w:bottom w:w="0" w:type="dxa"/>
          </w:tblCellMar>
        </w:tblPrEx>
        <w:trPr>
          <w:trHeight w:val="283"/>
        </w:trPr>
        <w:tc>
          <w:tcPr>
            <w:tcW w:w="10345" w:type="dxa"/>
            <w:gridSpan w:val="6"/>
            <w:shd w:val="clear" w:color="auto" w:fill="FFFFFF"/>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16E8E" w:rsidTr="00D16E8E">
        <w:tblPrEx>
          <w:tblCellMar>
            <w:top w:w="0" w:type="dxa"/>
            <w:bottom w:w="0" w:type="dxa"/>
          </w:tblCellMar>
        </w:tblPrEx>
        <w:trPr>
          <w:trHeight w:val="283"/>
        </w:trPr>
        <w:tc>
          <w:tcPr>
            <w:tcW w:w="10345" w:type="dxa"/>
            <w:gridSpan w:val="6"/>
            <w:shd w:val="clear" w:color="auto" w:fill="FFFFFF"/>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DMIBetalingOrdningOpret. Valideringen foretages i DMI.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007</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om at fordring ikke findes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kundenummer (både i hoved-struktur og som alternativ indbetaler) findes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rater skal være større end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025</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antal rater skal være større end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BetalingOrdningType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026</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 Besked om at Beta-lingOrdningType ikke findes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måneder må højest være x</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054</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Ratebeløb skal være større end x</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055</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(BetalingOrdningID), (BetalingOrdningRateID)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 Bet.Ord. eller Indb.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Ukendt system fejl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-1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Ukendt system fejl. Kontakt venligst SKAT for hjælp og næmere information.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Validering: Service ikke tilgængelig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-3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Besked: Service ikke tilgængelig. Kontakt venligst SKAT for hjælp og næmere information.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Kompensering ikke mulig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-4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Besked: Kompensering ikke mulig. Kontakt venligst SKAT for hjælp og næmere information.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på services er samlet i det fælles dokument "DMI-Valideringer-Fejlkoder_yyyymmdd.docx"</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 opmærksom på at valideringer på servicebeskrivelsen ikke altid er opdateret, og at det er dokumentet som er gældende.</w:t>
            </w: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Referencer fra use case(s)</w:t>
            </w:r>
          </w:p>
        </w:tc>
      </w:tr>
      <w:tr w:rsidR="00D16E8E" w:rsidTr="00D16E8E">
        <w:tblPrEx>
          <w:tblCellMar>
            <w:top w:w="0" w:type="dxa"/>
            <w:bottom w:w="0" w:type="dxa"/>
          </w:tblCellMar>
        </w:tblPrEx>
        <w:trPr>
          <w:trHeight w:val="283"/>
        </w:trPr>
        <w:tc>
          <w:tcPr>
            <w:tcW w:w="10345" w:type="dxa"/>
            <w:gridSpan w:val="6"/>
            <w:shd w:val="clear" w:color="auto" w:fill="FFFFFF"/>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og ændre forældelse på hæftelse i Use Case "FGD 400 Hæftelse forældelse"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Opret, Ændre, Annuller, Afvikle Betalingsordning i Use Case "FGD 600 Betalingsordning"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Stamdata opret ændr i Use Case "FGD 110 Stamdata"</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rPr>
          <w:trHeight w:val="283"/>
        </w:trPr>
        <w:tc>
          <w:tcPr>
            <w:tcW w:w="10345" w:type="dxa"/>
            <w:gridSpan w:val="6"/>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D16E8E" w:rsidTr="00D16E8E">
        <w:tblPrEx>
          <w:tblCellMar>
            <w:top w:w="0" w:type="dxa"/>
            <w:bottom w:w="0" w:type="dxa"/>
          </w:tblCellMar>
        </w:tblPrEx>
        <w:trPr>
          <w:trHeight w:val="283"/>
        </w:trPr>
        <w:tc>
          <w:tcPr>
            <w:tcW w:w="10345" w:type="dxa"/>
            <w:gridSpan w:val="6"/>
            <w:shd w:val="clear" w:color="auto" w:fill="FFFFFF"/>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synkron service. Leverancesikkerhed: Medium.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kaldes ca. 5000 gange i døgnet. Forudsætning: 3000 automatisk kald og 2000 manuelle.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datoen for udsendelse af første girokort ikke kan overholdes ved angivelse af BetalingOrdningGirokortUdsendelseDageFørSRB benyttes det antal dage, der kan lade sig gøre (f.eks. der angivet 10 dage som standard, men der er kun 8 dage til rådighed for første girokort). Dette gælder kun for de manuelt oprettede ordninger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6E8E" w:rsidSect="00D16E8E">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AlternativAdresseStruktur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AlternativAdresse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(AlternativAdresseFortløbendeNummer)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(AlternativAdresseAnvendelseKode)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(AlternativAdresseAdresseLinie1)</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(AlternativAdresseAdresseLinie2)</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(AlternativAdresseAdresseLinie3)</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(AlternativAdresseAdresseLinie4)</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(AlternativAdresseAdresseLinie5)</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(AlternativAdresseAdresseLinie6)</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(AlternativAdresseAdresseLinie7)</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(AlternativAdresseGyldigFra)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(AlternativAdresseGyldigTil)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BetalingOrdningBeløbStruktur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(BetalingOrdningBeløbDKK)</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BetalingOrdningRateÅrsStruktur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BetalingOrdningRateStatÅrsBegr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(BetalingOrdningRateStatÅrTekst)</w:t>
            </w: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BetalingOrdningStatusÅrsagKodeStruktur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BetalingOrdningStatÅrsagBegr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(BetalingOrdningStatÅrsagTekst)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DMIIndberetterID</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DækningRækkefølgeBeløbStruktur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(BetalingOrdningDækBeløbDKK)</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16E8E" w:rsidTr="00D16E8E">
        <w:tblPrEx>
          <w:tblCellMar>
            <w:top w:w="0" w:type="dxa"/>
            <w:bottom w:w="0" w:type="dxa"/>
          </w:tblCellMar>
        </w:tblPrEx>
        <w:trPr>
          <w:trHeight w:hRule="exact" w:val="113"/>
        </w:trPr>
        <w:tc>
          <w:tcPr>
            <w:tcW w:w="10345" w:type="dxa"/>
            <w:shd w:val="clear" w:color="auto" w:fill="B3B3B3"/>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16E8E" w:rsidTr="00D16E8E">
        <w:tblPrEx>
          <w:tblCellMar>
            <w:top w:w="0" w:type="dxa"/>
            <w:bottom w:w="0" w:type="dxa"/>
          </w:tblCellMar>
        </w:tblPrEx>
        <w:tc>
          <w:tcPr>
            <w:tcW w:w="10345" w:type="dxa"/>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D16E8E" w:rsidTr="00D16E8E">
        <w:tblPrEx>
          <w:tblCellMar>
            <w:top w:w="0" w:type="dxa"/>
            <w:bottom w:w="0" w:type="dxa"/>
          </w:tblCellMar>
        </w:tblPrEx>
        <w:tc>
          <w:tcPr>
            <w:tcW w:w="10345" w:type="dxa"/>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16E8E" w:rsidTr="00D16E8E">
        <w:tblPrEx>
          <w:tblCellMar>
            <w:top w:w="0" w:type="dxa"/>
            <w:bottom w:w="0" w:type="dxa"/>
          </w:tblCellMar>
        </w:tblPrEx>
        <w:tc>
          <w:tcPr>
            <w:tcW w:w="10345" w:type="dxa"/>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D16E8E" w:rsidTr="00D16E8E">
        <w:tblPrEx>
          <w:tblCellMar>
            <w:top w:w="0" w:type="dxa"/>
            <w:bottom w:w="0" w:type="dxa"/>
          </w:tblCellMar>
        </w:tblPrEx>
        <w:tc>
          <w:tcPr>
            <w:tcW w:w="10345" w:type="dxa"/>
            <w:shd w:val="clear" w:color="auto" w:fill="FFFFFF"/>
            <w:vAlign w:val="center"/>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16E8E" w:rsidSect="00D16E8E">
          <w:headerReference w:type="default" r:id="rId14"/>
          <w:pgSz w:w="11906" w:h="16838"/>
          <w:pgMar w:top="567" w:right="567" w:bottom="567" w:left="1134" w:header="283" w:footer="708" w:gutter="0"/>
          <w:cols w:space="708"/>
          <w:docGrid w:linePitch="360"/>
        </w:sect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16E8E" w:rsidTr="00D16E8E">
        <w:tblPrEx>
          <w:tblCellMar>
            <w:top w:w="0" w:type="dxa"/>
            <w:bottom w:w="0" w:type="dxa"/>
          </w:tblCellMar>
        </w:tblPrEx>
        <w:trPr>
          <w:tblHeader/>
        </w:trPr>
        <w:tc>
          <w:tcPr>
            <w:tcW w:w="3402" w:type="dxa"/>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AdresseAnvendelseKode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Beskriver adresseringsmuligheder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AlternativAdresseFortløbendeNummer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AlternativAdresseGyldigTil</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BetalingOrdningBSMarkering</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betalingsordningen skal tilmeldes Betalingsservice.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den indrapporterede valuta.</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BetalingOrdningBeløbDKK</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som samlet skal indbetales i henhold betalingsordningen i danske kroner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udenlandsk valuta af indbetalingen (raten), der skal anvendes på den pågældende fordring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BetalingOrdningDækBeløbDKK</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danske kroner af indbetalingen (raten), der skal anvendes på den pågældende fordring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BetalingOrdningDækPriorit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rækkefølge en indbetaling skal dække fordringer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nummer 1-999</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BetalingOrdningDækProcent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Andel i procent af indbetalingen (raten), der skal anvendes på den pågældende fordring.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BetalingOrdningGiroSendFørSRB</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 dage for udsendelse af girokort før SRB. Anvendes hvis sagsbehandler ønsker at ændre på default antal dage før udsendelse.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BetalingOrdningKundeBankKonto</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kontonummer hos et pengeinstitut mv</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BetalingOrdningKundeBankRegNr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BetalingOrdningKundeBankRegNr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cifret kode for det aktuelle pengeinstitut mv</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BetalingOrdningOpretRateIndeks</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Sorteringsindeks for rate (transitivt)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BetalingOrdningOpsatAfSpor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Betalingordning er opsat af spor.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Betalingsordning er ikke opsat af spor.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BetalingOrdningPåmind</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Nej.</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påmindelse til kunden.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påmindelse til kunden xx dage før indbetalingen af en rate eller rykker for rate</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BetalingOrdningRateStatusKode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BetalingOrdningRateStatusKode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raten er aktiveret, inaktiv eller annuleret.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BetalingOrdningRateStatÅrTekst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BetalingOrdningRateStatÅrsBegr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Uddybende forklaring til status på rate for betalingsordning.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BetalingOrdningRateStatÅrsKode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BetalingOrdningRateStatÅrsKode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Sat af EFI</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sendes rykker for en rate xx antal dage efter sidste rettidige indbetalingsdato.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sendes rykker.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BetalingOrdningRykRateGebyr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skal  tilskrives et rykkergebyr for rate xx.</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skal ikke tilskrives et rykkergebyr.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BetalingOrdningSendMeddelelse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Default = Ja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udsendes meddelelse.</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udsendes ikke meddelelse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BetalingOrdningSlut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ophører = inaktiv</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BetalingOrdningStart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 betalingsordningen gælder fra = SRB for 1 rate.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BetalingOrdningStatusKode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BetalingOrdningStatusKodeDomæne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AKT, IAKT, ANNU</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angive om betalingsordningen er aktiveret, inaktiv eller annuleret.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 en aktiv betalingsordning tilmeldes kunden til Nets (rateopkrævning eller betalingsservice)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inaktiv betalingsordning lagres i DMI og er passiv indtil den ændres til aktiv. Den kan også annulleres.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annulleret betalingsordning ønskes ikke anvendt mere.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 Aktiv</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 Inaktiv</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ANNU: Annulleret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BetalingOrdningStatÅrsagBegr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forklaring til betalingsordningstatus</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BetalingOrdningStatÅrsagKodeDomæne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IGAN, FSTK, AFAC, BETA, MISL, SPOS, SABV, AND</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baggrund for statuskode.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 Igangværende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FSTK: Forslag til betalingsordning sendt til kunde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AFAC: Afventer accept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 Betalt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MISL: Misligholdt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SPOS: Sporskifte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SABV: Sagsbehandlervalg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BetalingOrdningStatÅrsagTekst</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BetalingOrdningType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BetalingOrdningType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BOEFGSA, BOFRIAK, BOGÆLSA, BOREKON, FRIAFDR, KULANCE, SBFRAD, SBTVAD, SBTVAP, SBKULA, TVAFPRO, TVUAFDR</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betalingsordning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BOEFGSA: Bobehandling - Eftergivelsessag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BOFRIAK: Bobehandling - Kreditorordning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BOGÆLSA: Bobehandling - Gældsaneringssag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BOREKON: Bobehandling - Rekonstruktion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FRIAFDR: Frivillig betalingsordning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KULANCE: Kulanceaftale (administrativ aftale)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SBFRAD: Særskilt betalingsordning - Frivillig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SBTVAD: Særskilt betalingsordning - Tvungen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SBTVAP: Særskilt betalingsordning - Tvungen - betaling under protest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SBKULA: Særskilt betalingsordning - Kulanceaftale (administrativ aftale)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TVAFPRO: Tvungen betalingsordning - Betaling under protest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TVUAFDR: Tvungen betalingsordning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BetalingOrdningUdbAlternIndb</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et overskydende beløb skal udbetales til den alternative indbetaler.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Borger, Virksomhed, System, Medarbejder, Fordringshaver, Rettighedshaver</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25 </w:t>
            </w:r>
            <w:r>
              <w:rPr>
                <w:rFonts w:ascii="Arial" w:hAnsi="Arial" w:cs="Arial"/>
                <w:sz w:val="18"/>
              </w:rPr>
              <w:tab/>
              <w:t>Selskab med begrænset ansvar</w:t>
            </w:r>
            <w:r>
              <w:rPr>
                <w:rFonts w:ascii="Arial" w:hAnsi="Arial" w:cs="Arial"/>
                <w:sz w:val="18"/>
              </w:rPr>
              <w:tab/>
              <w:t>SBA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ForventetIndbetalingHændelse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Hvorvidt EFI skal have besked via hændelsesfunktionen når der modtages indbetalinger.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Ja: </w:t>
            </w:r>
            <w:r>
              <w:rPr>
                <w:rFonts w:ascii="Arial" w:hAnsi="Arial" w:cs="Arial"/>
                <w:sz w:val="18"/>
              </w:rPr>
              <w:tab/>
              <w:t xml:space="preserve">EFI ønsker at modtage besked via hændelse om </w:t>
            </w:r>
            <w:r>
              <w:rPr>
                <w:rFonts w:ascii="Arial" w:hAnsi="Arial" w:cs="Arial"/>
                <w:sz w:val="18"/>
              </w:rPr>
              <w:tab/>
            </w:r>
            <w:r>
              <w:rPr>
                <w:rFonts w:ascii="Arial" w:hAnsi="Arial" w:cs="Arial"/>
                <w:sz w:val="18"/>
              </w:rPr>
              <w:tab/>
              <w:t>indbetaling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Nej: </w:t>
            </w:r>
            <w:r>
              <w:rPr>
                <w:rFonts w:ascii="Arial" w:hAnsi="Arial" w:cs="Arial"/>
                <w:sz w:val="18"/>
              </w:rPr>
              <w:tab/>
              <w:t xml:space="preserve">EFI ønsker IKKE at modtage besked via hændelse </w:t>
            </w:r>
            <w:r>
              <w:rPr>
                <w:rFonts w:ascii="Arial" w:hAnsi="Arial" w:cs="Arial"/>
                <w:sz w:val="18"/>
              </w:rPr>
              <w:tab/>
            </w:r>
            <w:r>
              <w:rPr>
                <w:rFonts w:ascii="Arial" w:hAnsi="Arial" w:cs="Arial"/>
                <w:sz w:val="18"/>
              </w:rPr>
              <w:tab/>
              <w:t>om indbetaling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30</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Identificere typen kunde, dvs. hvad KundeNummer dækker over.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LandNavn</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D16E8E" w:rsidTr="00D16E8E">
        <w:tblPrEx>
          <w:tblCellMar>
            <w:top w:w="0" w:type="dxa"/>
            <w:bottom w:w="0" w:type="dxa"/>
          </w:tblCellMar>
        </w:tblPrEx>
        <w:tc>
          <w:tcPr>
            <w:tcW w:w="3402" w:type="dxa"/>
          </w:tcPr>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16E8E" w:rsidRPr="00D16E8E" w:rsidRDefault="00D16E8E" w:rsidP="00D16E8E">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16E8E" w:rsidRPr="00D16E8E" w:rsidSect="00D16E8E">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E8E" w:rsidRDefault="00D16E8E" w:rsidP="00D16E8E">
      <w:pPr>
        <w:spacing w:line="240" w:lineRule="auto"/>
      </w:pPr>
      <w:r>
        <w:separator/>
      </w:r>
    </w:p>
  </w:endnote>
  <w:endnote w:type="continuationSeparator" w:id="0">
    <w:p w:rsidR="00D16E8E" w:rsidRDefault="00D16E8E" w:rsidP="00D16E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Default="00D16E8E">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Pr="00D16E8E" w:rsidRDefault="00D16E8E" w:rsidP="00D16E8E">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DMIBetalingOrdningOpret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Default="00D16E8E">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E8E" w:rsidRDefault="00D16E8E" w:rsidP="00D16E8E">
      <w:pPr>
        <w:spacing w:line="240" w:lineRule="auto"/>
      </w:pPr>
      <w:r>
        <w:separator/>
      </w:r>
    </w:p>
  </w:footnote>
  <w:footnote w:type="continuationSeparator" w:id="0">
    <w:p w:rsidR="00D16E8E" w:rsidRDefault="00D16E8E" w:rsidP="00D16E8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Default="00D16E8E">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Pr="00D16E8E" w:rsidRDefault="00D16E8E" w:rsidP="00D16E8E">
    <w:pPr>
      <w:pStyle w:val="Sidehoved"/>
      <w:jc w:val="center"/>
      <w:rPr>
        <w:rFonts w:ascii="Arial" w:hAnsi="Arial" w:cs="Arial"/>
      </w:rPr>
    </w:pPr>
    <w:r w:rsidRPr="00D16E8E">
      <w:rPr>
        <w:rFonts w:ascii="Arial" w:hAnsi="Arial" w:cs="Arial"/>
      </w:rPr>
      <w:t>Servicebeskrivelse</w:t>
    </w:r>
  </w:p>
  <w:p w:rsidR="00D16E8E" w:rsidRPr="00D16E8E" w:rsidRDefault="00D16E8E" w:rsidP="00D16E8E">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Default="00D16E8E">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Pr="00D16E8E" w:rsidRDefault="00D16E8E" w:rsidP="00D16E8E">
    <w:pPr>
      <w:pStyle w:val="Sidehoved"/>
      <w:jc w:val="center"/>
      <w:rPr>
        <w:rFonts w:ascii="Arial" w:hAnsi="Arial" w:cs="Arial"/>
      </w:rPr>
    </w:pPr>
    <w:r w:rsidRPr="00D16E8E">
      <w:rPr>
        <w:rFonts w:ascii="Arial" w:hAnsi="Arial" w:cs="Arial"/>
      </w:rPr>
      <w:t>Datastrukturer</w:t>
    </w:r>
  </w:p>
  <w:p w:rsidR="00D16E8E" w:rsidRPr="00D16E8E" w:rsidRDefault="00D16E8E" w:rsidP="00D16E8E">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E8E" w:rsidRDefault="00D16E8E" w:rsidP="00D16E8E">
    <w:pPr>
      <w:pStyle w:val="Sidehoved"/>
      <w:jc w:val="center"/>
      <w:rPr>
        <w:rFonts w:ascii="Arial" w:hAnsi="Arial" w:cs="Arial"/>
      </w:rPr>
    </w:pPr>
    <w:r>
      <w:rPr>
        <w:rFonts w:ascii="Arial" w:hAnsi="Arial" w:cs="Arial"/>
      </w:rPr>
      <w:t>Data elementer</w:t>
    </w:r>
  </w:p>
  <w:p w:rsidR="00D16E8E" w:rsidRPr="00D16E8E" w:rsidRDefault="00D16E8E" w:rsidP="00D16E8E">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F7720"/>
    <w:multiLevelType w:val="multilevel"/>
    <w:tmpl w:val="1DFCCE3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6E8E"/>
    <w:rsid w:val="006843F7"/>
    <w:rsid w:val="00892491"/>
    <w:rsid w:val="00D16E8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16E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16E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16E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16E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16E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16E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16E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16E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16E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6E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16E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16E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16E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16E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16E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16E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16E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16E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16E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6E8E"/>
    <w:rPr>
      <w:rFonts w:ascii="Arial" w:hAnsi="Arial" w:cs="Arial"/>
      <w:b/>
      <w:sz w:val="30"/>
    </w:rPr>
  </w:style>
  <w:style w:type="paragraph" w:customStyle="1" w:styleId="Overskrift211pkt">
    <w:name w:val="Overskrift 2 + 11 pkt"/>
    <w:basedOn w:val="Normal"/>
    <w:link w:val="Overskrift211pktTegn"/>
    <w:rsid w:val="00D16E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6E8E"/>
    <w:rPr>
      <w:rFonts w:ascii="Arial" w:hAnsi="Arial" w:cs="Arial"/>
      <w:b/>
    </w:rPr>
  </w:style>
  <w:style w:type="paragraph" w:customStyle="1" w:styleId="Normal11">
    <w:name w:val="Normal + 11"/>
    <w:basedOn w:val="Normal"/>
    <w:link w:val="Normal11Tegn"/>
    <w:rsid w:val="00D16E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6E8E"/>
    <w:rPr>
      <w:rFonts w:ascii="Times New Roman" w:hAnsi="Times New Roman" w:cs="Times New Roman"/>
    </w:rPr>
  </w:style>
  <w:style w:type="paragraph" w:styleId="Sidehoved">
    <w:name w:val="header"/>
    <w:basedOn w:val="Normal"/>
    <w:link w:val="SidehovedTegn"/>
    <w:uiPriority w:val="99"/>
    <w:unhideWhenUsed/>
    <w:rsid w:val="00D16E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16E8E"/>
  </w:style>
  <w:style w:type="paragraph" w:styleId="Sidefod">
    <w:name w:val="footer"/>
    <w:basedOn w:val="Normal"/>
    <w:link w:val="SidefodTegn"/>
    <w:uiPriority w:val="99"/>
    <w:unhideWhenUsed/>
    <w:rsid w:val="00D16E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16E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16E8E"/>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16E8E"/>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16E8E"/>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16E8E"/>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16E8E"/>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16E8E"/>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16E8E"/>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16E8E"/>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16E8E"/>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16E8E"/>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16E8E"/>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16E8E"/>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16E8E"/>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16E8E"/>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16E8E"/>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16E8E"/>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16E8E"/>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16E8E"/>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16E8E"/>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16E8E"/>
    <w:rPr>
      <w:rFonts w:ascii="Arial" w:hAnsi="Arial" w:cs="Arial"/>
      <w:b/>
      <w:sz w:val="30"/>
    </w:rPr>
  </w:style>
  <w:style w:type="paragraph" w:customStyle="1" w:styleId="Overskrift211pkt">
    <w:name w:val="Overskrift 2 + 11 pkt"/>
    <w:basedOn w:val="Normal"/>
    <w:link w:val="Overskrift211pktTegn"/>
    <w:rsid w:val="00D16E8E"/>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16E8E"/>
    <w:rPr>
      <w:rFonts w:ascii="Arial" w:hAnsi="Arial" w:cs="Arial"/>
      <w:b/>
    </w:rPr>
  </w:style>
  <w:style w:type="paragraph" w:customStyle="1" w:styleId="Normal11">
    <w:name w:val="Normal + 11"/>
    <w:basedOn w:val="Normal"/>
    <w:link w:val="Normal11Tegn"/>
    <w:rsid w:val="00D16E8E"/>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16E8E"/>
    <w:rPr>
      <w:rFonts w:ascii="Times New Roman" w:hAnsi="Times New Roman" w:cs="Times New Roman"/>
    </w:rPr>
  </w:style>
  <w:style w:type="paragraph" w:styleId="Sidehoved">
    <w:name w:val="header"/>
    <w:basedOn w:val="Normal"/>
    <w:link w:val="SidehovedTegn"/>
    <w:uiPriority w:val="99"/>
    <w:unhideWhenUsed/>
    <w:rsid w:val="00D16E8E"/>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16E8E"/>
  </w:style>
  <w:style w:type="paragraph" w:styleId="Sidefod">
    <w:name w:val="footer"/>
    <w:basedOn w:val="Normal"/>
    <w:link w:val="SidefodTegn"/>
    <w:uiPriority w:val="99"/>
    <w:unhideWhenUsed/>
    <w:rsid w:val="00D16E8E"/>
    <w:pPr>
      <w:tabs>
        <w:tab w:val="center" w:pos="4819"/>
        <w:tab w:val="right" w:pos="9638"/>
      </w:tabs>
      <w:spacing w:line="240" w:lineRule="auto"/>
    </w:pPr>
  </w:style>
  <w:style w:type="character" w:customStyle="1" w:styleId="SidefodTegn">
    <w:name w:val="Sidefod Tegn"/>
    <w:basedOn w:val="Standardskrifttypeiafsnit"/>
    <w:link w:val="Sidefod"/>
    <w:uiPriority w:val="99"/>
    <w:rsid w:val="00D16E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3458</Words>
  <Characters>21098</Characters>
  <Application>Microsoft Office Word</Application>
  <DocSecurity>0</DocSecurity>
  <Lines>175</Lines>
  <Paragraphs>49</Paragraphs>
  <ScaleCrop>false</ScaleCrop>
  <Company>SKAT</Company>
  <LinksUpToDate>false</LinksUpToDate>
  <CharactersWithSpaces>24507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2012-01-31T16:32:00Z</dcterms:created>
  <dcterms:modified xsi:type="dcterms:W3CDTF">2012-01-31T16:33:00Z</dcterms:modified>
</cp:coreProperties>
</file>