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EFIBetalingOrdningMisligholdt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en betalingsordning i DMI er misligholdt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betalingsordning er misligholdt når betalingsfristen for en given rate ikke bliver overholdt og ryk for rate evt. er gen-nemført uden succes.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hvilken betalingsordning og rate, der ikke er overholdt, samt betalingsfristen og ratebeløbet.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kunder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EFIBetalingOrdningMisligholdt_I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*BetalingsordningMisligholdListe*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*BetalingsOrdningliste*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*MisligholdtBetalingsordning*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IndsatsID</w:t>
              <w:br/>
              <w:t/>
              <w:tab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BetalingOrdningRateRykkerDato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EFIBetalingOrdningMisligholdt_O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EFIBetalingOrdningMisligholdt.</w:t>
              <w:br/>
              <w:t>________________________</w:t>
              <w:br/>
              <w:t/>
              <w:br/>
              <w:t>Validering : Kunden findes ikke i EFI</w:t>
              <w:br/>
              <w:t>Fejlnummer: 005</w:t>
              <w:br/>
              <w:t>Reaktion: Kald bliver ikke behandlet</w:t>
              <w:br/>
              <w:t>Parameter: Liste af kundenumre, der ikke findes i EFI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hændelse.</w:t>
              <w:br/>
              <w:t>Disse felter benyttes til aktering:</w:t>
              <w:br/>
              <w:t>BetalingOrdningSRBDato</w:t>
              <w:br/>
              <w:t>BetalingOrdningRateBeløb</w:t>
              <w:br/>
              <w:t>BetalingOrdningRateRykkerDato</w:t>
              <w:br/>
              <w:t/>
              <w:br/>
              <w:t>Der er ingen kompenserende transaktioner for denne service.</w:t>
              <w:br/>
              <w:t>Servicen kaldes ca. 1500 gange i døgnet (SKAL korrigeres).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BetalingOrdningRateRykkerDato</w:t>
            </w:r>
            <w:bookmarkStart w:name="BetalingOrdningRateRykk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 xx dage efter SRB, hvor rykker for raten skal sendes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EFIBetalingOrdningMisligholdt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