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DMIBetalingOrdningÆndr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DMIBetalingOrdningÆndr har ansvaret for at ændre en betalingsordning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ændrer en igangværende betalingsordning.</w:t>
              <w:br/>
              <w:t>Såfremt det er tilladt at ændre det fremsendte (f.eks. en konkret RateID), vil eksisterende post i DMI blive overskrevet med alle de fremsendte værdier.</w:t>
              <w:br/>
              <w:t>Såfremt en allerede eksisterende RateID ikke er med ved kald af DMIBetalingOrdningÆndr, vil den forblive uændret.</w:t>
              <w:br/>
              <w:t>Ønsker man at 'slette' en RateID gøres det ved at ændre status til 'Inaktiv'</w:t>
              <w:br/>
              <w:t>DMIBetalingOrdningÆndr foretager ingen beregninger, men anvendes alene til at gemme/opdatere data på en betalingsordning.</w:t>
              <w:br/>
              <w:t>DMIBetalingOrdningForslagBeregn kan anvendes såfremt der er behov for f.eks. beregning af rater.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ændrer en betalingsordning for en kunde i EFI, dvs. den kunde i EFI hvor det er valgt at kunden må få en betalingsordning.</w:t>
              <w:br/>
              <w:t/>
              <w:br/>
              <w:t>Betalingsordningen kan inkludere</w:t>
              <w:br/>
              <w:t>- fordringer kunden hæfter for</w:t>
              <w:br/>
              <w:t>- opkrævningsfordringer. Typisk er det et kundeønske at få overført opkrævningsfordringer til RIM, så de kan indgå i en samlet betalingsordning.</w:t>
              <w:br/>
              <w:t/>
              <w:b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br/>
              <w:t/>
              <w:br/>
              <w:t>Denne service kan ikke vedligeholde kontooplysninger for den alternative indbetaler på nær navnet. Men der kan angives nye kundeoplysninger, hvis det viser sig at det er en anden person/virksomhed, der skal sættes på som alternativ indbetaler.</w:t>
              <w:br/>
              <w:t/>
              <w:br/>
              <w:t>Denne service tillader følgende:</w:t>
              <w:br/>
              <w:t>. Tilføje/fjerne fordringer i betalingsordningen</w:t>
              <w:br/>
              <w:t>. Ændre rateplanen</w:t>
              <w:br/>
              <w:t>. Ændre dækningsrækkefølge</w:t>
              <w:br/>
              <w:t>. Afmeld/tilmeld PBS</w:t>
              <w:br/>
              <w:t>. Ændringer til egenskaber, f.eks. påmind kunder eller udsend rykker</w:t>
              <w:br/>
              <w:t>. Ændre alternativ forsendelsesadresse til girokort</w:t>
              <w:br/>
              <w:t>. Ændre alternativ indbetaler og angivelse af hvem, der skal have udbetalt et evt overskydende beløb</w:t>
              <w:br/>
              <w:t/>
              <w:br/>
              <w:t/>
              <w:br/>
              <w:t>Dækningsrækkefølgen står som optionel idet sagsbehandler kan benytte løsningens rangorden.</w:t>
              <w:br/>
              <w:t>Kundens fordringer kan dækkes i rangorden, men kan inden for rangorden også deles ud med en procentdel eller et beløb af en indbetaling.</w:t>
              <w:br/>
              <w:t/>
              <w:br/>
              <w:t>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w:t>
              <w:br/>
              <w:t/>
              <w:br/>
              <w:t>Alternativadresse er ikke den AlternativIndbetaler's adresse, men en alternativ forsendelsesadresse til brug for udsendelse af girokort.</w:t>
              <w:br/>
              <w:t/>
              <w:br/>
              <w:t>Rate:</w:t>
              <w:br/>
              <w:t>Hvis der ikke angives en BetalingOrdningRateID, er det en ny rate og så tildeler DMI rateId'et. Ellers overskrives den specifikke rateId med de fremsendte oplysninger. En rate slettes ved at sætte BetalingOrdningRateStatusKode til annulleret.</w:t>
              <w:br/>
              <w:t/>
              <w:br/>
              <w:t>Betalingsfri rater angives ved at sætte BetalingOrdningRateBeløb til det beløb der skulle være betalt og sætte BetalingsOrdningRateStatusKode til Inaktiv. Alternativt undlader man at oprette raten.</w:t>
              <w:br/>
              <w:t/>
              <w:b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br/>
              <w:t/>
              <w:b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*BetalingOrdningOplysninger*</w:t>
              <w:br/>
              <w:t>[</w:t>
              <w:br/>
              <w:t/>
              <w:tab/>
              <w:t>BetalingOrdningID</w:t>
              <w:br/>
              <w:t/>
              <w:tab/>
              <w:t>BetalingOrdningStart</w:t>
              <w:br/>
              <w:t/>
              <w:tab/>
              <w:t>(BetalingOrdningSlut)</w:t>
              <w:br/>
              <w:t/>
              <w:tab/>
              <w:t>(</w:t>
              <w:br/>
              <w:t/>
              <w:tab/>
              <w:t/>
              <w:tab/>
              <w:t>*AlternativIndbetaler*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BetalingOrdningUdbAlternIndb</w:t>
              <w:br/>
              <w:t/>
              <w:tab/>
              <w:t/>
              <w:tab/>
              <w:t>]</w:t>
              <w:br/>
              <w:t/>
              <w:tab/>
              <w:t>)</w:t>
              <w:br/>
              <w:t/>
              <w:tab/>
              <w:t>BetalingOrdningType</w:t>
              <w:br/>
              <w:t/>
              <w:tab/>
              <w:t>(</w:t>
              <w:br/>
              <w:t/>
              <w:tab/>
              <w:t/>
              <w:tab/>
              <w:t>*BetalingOrdningErstatterID*</w:t>
              <w:br/>
              <w:t/>
              <w:tab/>
              <w:t/>
              <w:tab/>
              <w:t>[</w:t>
              <w:br/>
              <w:t/>
              <w:tab/>
              <w:t/>
              <w:tab/>
              <w:t/>
              <w:tab/>
              <w:t>BetalingOrdningID</w:t>
              <w:br/>
              <w:t/>
              <w:tab/>
              <w:t/>
              <w:tab/>
              <w:t>]</w:t>
              <w:br/>
              <w:t/>
              <w:tab/>
              <w:t>)</w:t>
              <w:br/>
              <w:t/>
              <w:tab/>
              <w:t>*BetalingOrdningStatus*</w:t>
              <w:br/>
              <w:t/>
              <w:tab/>
              <w:t>[</w:t>
              <w:br/>
              <w:t/>
              <w:tab/>
              <w:t/>
              <w:tab/>
              <w:t>BetalingOrdningStatusKode</w:t>
              <w:br/>
              <w:t/>
              <w:tab/>
              <w:t/>
              <w:tab/>
              <w:t>*BetalingOrdningStatusÅrsagKodeStruktur*</w:t>
              <w:br/>
              <w:t/>
              <w:tab/>
              <w:t/>
              <w:tab/>
              <w:t>[</w:t>
              <w:br/>
              <w:t/>
              <w:tab/>
              <w:t/>
              <w:tab/>
              <w:t/>
              <w:tab/>
              <w:t>BetalingOrdningStatÅrsagKode</w:t>
              <w:br/>
              <w:t/>
              <w:tab/>
              <w:t/>
              <w:tab/>
              <w:t/>
              <w:tab/>
              <w:t>BetalingOrdningStatÅrsagBegr</w:t>
              <w:br/>
              <w:t/>
              <w:tab/>
              <w:t/>
              <w:tab/>
              <w:t/>
              <w:tab/>
              <w:t>(BetalingOrdningStatÅrsagTekst)</w:t>
              <w:br/>
              <w:t/>
              <w:tab/>
              <w:t/>
              <w:tab/>
              <w:t>]</w:t>
              <w:br/>
              <w:t/>
              <w:tab/>
              <w:t>]</w:t>
              <w:br/>
              <w:t/>
              <w:tab/>
              <w:t>BetalingOrdningBSMarkering</w:t>
              <w:br/>
              <w:t/>
              <w:tab/>
              <w:t>BetalingOrdningRykRate</w:t>
              <w:br/>
              <w:t/>
              <w:tab/>
              <w:t>BetalingOrdningRykRateGebyr</w:t>
              <w:br/>
              <w:t/>
              <w:tab/>
              <w:t>(BetalingOrdningKundeBankRegNr)</w:t>
              <w:br/>
              <w:t/>
              <w:tab/>
              <w:t>(BetalingOrdningKundeBankKonto)</w:t>
              <w:br/>
              <w:t/>
              <w:tab/>
              <w:t>BetalingOrdningPåmind</w:t>
              <w:br/>
              <w:t/>
              <w:tab/>
              <w:t>BetalingOrdningSendMeddelelse</w:t>
              <w:br/>
              <w:t/>
              <w:tab/>
              <w:t>BetalingOrdningOpsatAfSpor</w:t>
              <w:br/>
              <w:t/>
              <w:tab/>
              <w:t>(BetalingOrdningGiroSendFørSRB)</w:t>
              <w:br/>
              <w:t/>
              <w:tab/>
              <w:t>(ForventetIndbetalingHændelse)</w:t>
              <w:br/>
              <w:t/>
              <w:tab/>
              <w:t>IndsatsID</w:t>
              <w:br/>
              <w:t/>
              <w:tab/>
              <w:t>(</w:t>
              <w:br/>
              <w:t/>
              <w:tab/>
              <w:t/>
              <w:tab/>
              <w:t>*AlternativAdresseStruktur*</w:t>
              <w:br/>
              <w:t/>
              <w:tab/>
              <w:t/>
              <w:tab/>
              <w:t>[</w:t>
              <w:br/>
              <w:t/>
              <w:tab/>
              <w:t/>
              <w:tab/>
              <w:t/>
              <w:tab/>
              <w:t>*AlternativAdresse*</w:t>
              <w:br/>
              <w:t/>
              <w:tab/>
              <w:t/>
              <w:tab/>
              <w:t/>
              <w:tab/>
              <w:t>[</w:t>
              <w:br/>
              <w:t/>
              <w:tab/>
              <w:t/>
              <w:tab/>
              <w:t/>
              <w:tab/>
              <w:t/>
              <w:tab/>
              <w:t>(AlternativAdresseFortløbendeNummer)</w:t>
              <w:br/>
              <w:t/>
              <w:tab/>
              <w:t/>
              <w:tab/>
              <w:t/>
              <w:tab/>
              <w:t/>
              <w:tab/>
              <w:t>(AlternativAdresseAnvendelseKode)</w:t>
              <w:br/>
              <w:t/>
              <w:tab/>
              <w:t/>
              <w:tab/>
              <w:t/>
              <w:tab/>
              <w:t/>
              <w:tab/>
              <w:t>(AlternativAdresseAdresseLinie1)</w:t>
              <w:br/>
              <w:t/>
              <w:tab/>
              <w:t/>
              <w:tab/>
              <w:t/>
              <w:tab/>
              <w:t/>
              <w:tab/>
              <w:t>(AlternativAdresseAdresseLinie2)</w:t>
              <w:br/>
              <w:t/>
              <w:tab/>
              <w:t/>
              <w:tab/>
              <w:t/>
              <w:tab/>
              <w:t/>
              <w:tab/>
              <w:t>(AlternativAdresseAdresseLinie3)</w:t>
              <w:br/>
              <w:t/>
              <w:tab/>
              <w:t/>
              <w:tab/>
              <w:t/>
              <w:tab/>
              <w:t/>
              <w:tab/>
              <w:t>(AlternativAdresseAdresseLinie4)</w:t>
              <w:br/>
              <w:t/>
              <w:tab/>
              <w:t/>
              <w:tab/>
              <w:t/>
              <w:tab/>
              <w:t/>
              <w:tab/>
              <w:t>(AlternativAdresseAdresseLinie5)</w:t>
              <w:br/>
              <w:t/>
              <w:tab/>
              <w:t/>
              <w:tab/>
              <w:t/>
              <w:tab/>
              <w:t/>
              <w:tab/>
              <w:t>(AlternativAdresseAdresseLinie6)</w:t>
              <w:br/>
              <w:t/>
              <w:tab/>
              <w:t/>
              <w:tab/>
              <w:t/>
              <w:tab/>
              <w:t/>
              <w:tab/>
              <w:t>(AlternativAdresseAdresseLinie7)</w:t>
              <w:br/>
              <w:t/>
              <w:tab/>
              <w:t/>
              <w:tab/>
              <w:t/>
              <w:tab/>
              <w:t/>
              <w:tab/>
              <w:t>(AlternativAdresseGyldigFra)</w:t>
              <w:br/>
              <w:t/>
              <w:tab/>
              <w:t/>
              <w:tab/>
              <w:t/>
              <w:tab/>
              <w:t/>
              <w:tab/>
              <w:t>(AlternativAdresseGyldigTil)</w:t>
              <w:br/>
              <w:t/>
              <w:tab/>
              <w:t/>
              <w:tab/>
              <w:t/>
              <w:tab/>
              <w:t/>
              <w:tab/>
              <w:t>(AdresseTypeKode)</w:t>
              <w:br/>
              <w:t/>
              <w:tab/>
              <w:t/>
              <w:tab/>
              <w:t/>
              <w:tab/>
              <w:t/>
              <w:tab/>
              <w:t>(AdresseTypeTekst)</w:t>
              <w:br/>
              <w:t/>
              <w:tab/>
              <w:t/>
              <w:tab/>
              <w:t/>
              <w:tab/>
              <w:t/>
              <w:tab/>
              <w:t>(AdresseTypeGyldigFra)</w:t>
              <w:br/>
              <w:t/>
              <w:tab/>
              <w:t/>
              <w:tab/>
              <w:t/>
              <w:tab/>
              <w:t/>
              <w:tab/>
              <w:t>(AdresseTypeGyldigTil)</w:t>
              <w:br/>
              <w:t/>
              <w:tab/>
              <w:t/>
              <w:tab/>
              <w:t/>
              <w:tab/>
              <w:t/>
              <w:tab/>
              <w:t>(LandKode)</w:t>
              <w:br/>
              <w:t/>
              <w:tab/>
              <w:t/>
              <w:tab/>
              <w:t/>
              <w:tab/>
              <w:t/>
              <w:tab/>
              <w:t>(LandNavn)</w:t>
              <w:br/>
              <w:t/>
              <w:tab/>
              <w:t/>
              <w:tab/>
              <w:t/>
              <w:tab/>
              <w:t>]</w:t>
              <w:br/>
              <w:t/>
              <w:tab/>
              <w:t/>
              <w:tab/>
              <w:t>]</w:t>
              <w:br/>
              <w:t/>
              <w:tab/>
              <w:t>)</w:t>
              <w:br/>
              <w:t>]</w:t>
              <w:br/>
              <w:t>*RatePlanListe*</w:t>
              <w:br/>
              <w:t>0{</w:t>
              <w:br/>
              <w:t/>
              <w:tab/>
              <w:t>*Rate*</w:t>
              <w:br/>
              <w:t/>
              <w:tab/>
              <w:t>[</w:t>
              <w:br/>
              <w:t/>
              <w:tab/>
              <w:t/>
              <w:tab/>
              <w:t>BetalingOrdningID</w:t>
              <w:br/>
              <w:t/>
              <w:tab/>
              <w:t/>
              <w:tab/>
              <w:t>BetalingOrdningRateID</w:t>
              <w:br/>
              <w:t/>
              <w:tab/>
              <w:t/>
              <w:tab/>
              <w:t>(BetalingOrdningOpretRateIndeks)</w:t>
              <w:br/>
              <w:t/>
              <w:tab/>
              <w:t/>
              <w:tab/>
              <w:t>*BetalingOrdningRateBeløbStruktur*</w:t>
              <w:br/>
              <w:t/>
              <w:tab/>
              <w:t/>
              <w:tab/>
              <w:t>[</w:t>
              <w:br/>
              <w:t/>
              <w:tab/>
              <w:t/>
              <w:tab/>
              <w:t/>
              <w:tab/>
              <w:t>ValutaKode</w:t>
              <w:br/>
              <w:t/>
              <w:tab/>
              <w:t/>
              <w:tab/>
              <w:t/>
              <w:tab/>
              <w:t>BetalingOrdningRateBeløb</w:t>
              <w:br/>
              <w:t/>
              <w:tab/>
              <w:t/>
              <w:tab/>
              <w:t/>
              <w:tab/>
              <w:t>(BetalingOrdningRateBeløbDKK)</w:t>
              <w:br/>
              <w:t/>
              <w:tab/>
              <w:t/>
              <w:tab/>
              <w:t>]</w:t>
              <w:br/>
              <w:t/>
              <w:tab/>
              <w:t/>
              <w:tab/>
              <w:t>BetalingOrdningRateSRBDato</w:t>
              <w:br/>
              <w:t/>
              <w:tab/>
              <w:t/>
              <w:tab/>
              <w:t>(ForventetIndbetalingHændelse)</w:t>
              <w:br/>
              <w:t/>
              <w:tab/>
              <w:t/>
              <w:tab/>
              <w:t>*BetalingOrdningRateStatusOplysninger*</w:t>
              <w:br/>
              <w:t/>
              <w:tab/>
              <w:t/>
              <w:tab/>
              <w:t>[</w:t>
              <w:br/>
              <w:t/>
              <w:tab/>
              <w:t/>
              <w:tab/>
              <w:t/>
              <w:tab/>
              <w:t>BetalingOrdningRateStatusKode</w:t>
              <w:br/>
              <w:t/>
              <w:tab/>
              <w:t/>
              <w:tab/>
              <w:t/>
              <w:tab/>
              <w:t>*BetalingOrdningRateÅrsStruktur*</w:t>
              <w:br/>
              <w:t/>
              <w:tab/>
              <w:t/>
              <w:tab/>
              <w:t/>
              <w:tab/>
              <w:t>[</w:t>
              <w:br/>
              <w:t/>
              <w:tab/>
              <w:t/>
              <w:tab/>
              <w:t/>
              <w:tab/>
              <w:t/>
              <w:tab/>
              <w:t>BetalingOrdningRateStatÅrsKode</w:t>
              <w:br/>
              <w:t/>
              <w:tab/>
              <w:t/>
              <w:tab/>
              <w:t/>
              <w:tab/>
              <w:t/>
              <w:tab/>
              <w:t>BetalingOrdningRateStatÅrsBegr</w:t>
              <w:br/>
              <w:t/>
              <w:tab/>
              <w:t/>
              <w:tab/>
              <w:t/>
              <w:tab/>
              <w:t/>
              <w:tab/>
              <w:t>(BetalingOrdningRateStatÅrTekst)</w:t>
              <w:br/>
              <w:t/>
              <w:tab/>
              <w:t/>
              <w:tab/>
              <w:t/>
              <w:tab/>
              <w:t>]</w:t>
              <w:br/>
              <w:t/>
              <w:tab/>
              <w:t/>
              <w:tab/>
              <w:t>]</w:t>
              <w:br/>
              <w:t/>
              <w:tab/>
              <w:t>]</w:t>
              <w:br/>
              <w:t>}</w:t>
              <w:br/>
              <w:t>*FordringListe*</w:t>
              <w:br/>
              <w:t>0{</w:t>
              <w:br/>
              <w:t/>
              <w:tab/>
              <w:t>*Fordring*</w:t>
              <w:br/>
              <w:t/>
              <w:tab/>
              <w:t>[</w:t>
              <w:br/>
              <w:t/>
              <w:tab/>
              <w:t/>
              <w:tab/>
              <w:t>DMIFordringEFIFordringID</w:t>
              <w:br/>
              <w:t/>
              <w:tab/>
              <w:t/>
              <w:tab/>
              <w:t>(HentRelateredeFordringer)</w:t>
              <w:br/>
              <w:t/>
              <w:tab/>
              <w:t/>
              <w:tab/>
              <w:t>(BetalingOrdningDækPriorit)</w:t>
              <w:br/>
              <w:t/>
              <w:tab/>
              <w:t/>
              <w:tab/>
              <w:t>(</w:t>
              <w:br/>
              <w:t/>
              <w:tab/>
              <w:t/>
              <w:tab/>
              <w:t/>
              <w:tab/>
              <w:t>*BetalingOrdningValg*</w:t>
              <w:br/>
              <w:t/>
              <w:tab/>
              <w:t/>
              <w:tab/>
              <w:t/>
              <w:tab/>
              <w:t>[</w:t>
              <w:br/>
              <w:t/>
              <w:tab/>
              <w:t/>
              <w:tab/>
              <w:t/>
              <w:tab/>
              <w:t/>
              <w:tab/>
              <w:t>*Procentandel*</w:t>
              <w:br/>
              <w:t/>
              <w:tab/>
              <w:t/>
              <w:tab/>
              <w:t/>
              <w:tab/>
              <w:t/>
              <w:tab/>
              <w:t>[</w:t>
              <w:br/>
              <w:t/>
              <w:tab/>
              <w:t/>
              <w:tab/>
              <w:t/>
              <w:tab/>
              <w:t/>
              <w:tab/>
              <w:t/>
              <w:tab/>
              <w:t>BetalingOrdningDækProcent</w:t>
              <w:br/>
              <w:t/>
              <w:tab/>
              <w:t/>
              <w:tab/>
              <w:t/>
              <w:tab/>
              <w:t/>
              <w:tab/>
              <w:t>]</w:t>
              <w:br/>
              <w:t/>
              <w:tab/>
              <w:t/>
              <w:tab/>
              <w:t/>
              <w:tab/>
              <w:t/>
              <w:tab/>
              <w:t>|</w:t>
              <w:br/>
              <w:t/>
              <w:tab/>
              <w:t/>
              <w:tab/>
              <w:t/>
              <w:tab/>
              <w:t/>
              <w:tab/>
              <w:t>*DækningRækkefølgeBeløbStruktur*</w:t>
              <w:br/>
              <w:t/>
              <w:tab/>
              <w:t/>
              <w:tab/>
              <w:t/>
              <w:tab/>
              <w:t/>
              <w:tab/>
              <w:t>[</w:t>
              <w:br/>
              <w:t/>
              <w:tab/>
              <w:t/>
              <w:tab/>
              <w:t/>
              <w:tab/>
              <w:t/>
              <w:tab/>
              <w:t/>
              <w:tab/>
              <w:t>ValutaKode</w:t>
              <w:br/>
              <w:t/>
              <w:tab/>
              <w:t/>
              <w:tab/>
              <w:t/>
              <w:tab/>
              <w:t/>
              <w:tab/>
              <w:t/>
              <w:tab/>
              <w:t>BetalingOrdningDækBeløb</w:t>
              <w:br/>
              <w:t/>
              <w:tab/>
              <w:t/>
              <w:tab/>
              <w:t/>
              <w:tab/>
              <w:t/>
              <w:tab/>
              <w:t/>
              <w:tab/>
              <w:t>(BetalingOrdningDækBeløbDKK)</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*Svar*</w:t>
              <w:br/>
              <w:t>[</w:t>
              <w:br/>
              <w:t/>
              <w:tab/>
              <w:t>BetalingOrdningID</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DMIBetalingOrdningÆndr.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
              <w:br/>
              <w:t>Validering: Kontrol af hvorvidt kundenummer (kun alternativ indbetaler) findes</w:t>
              <w:br/>
              <w:t>Fejlnummer: 018</w:t>
              <w:br/>
              <w:t>Reaktion: Opdatering afvises</w:t>
              <w:br/>
              <w:t>Parameterliste: KundeNummer, KundeType</w:t>
              <w:br/>
              <w:t/>
              <w:br/>
              <w:t>Validering: Kontrol af BetalingOrdingID</w:t>
              <w:br/>
              <w:t>Fejlnummer: 023</w:t>
              <w:br/>
              <w:t>Reaktion: Opdatering afvises</w:t>
              <w:br/>
              <w:t>Parameterliste:</w:t>
              <w:br/>
              <w:t/>
              <w:br/>
              <w:t>Validering: Antal rater skal være større end 0</w:t>
              <w:br/>
              <w:t>Fejlnummer: 025</w:t>
              <w:br/>
              <w:t>Reaktion: Opdatering afvises. Besked om at antal rater skal være større end 0</w:t>
              <w:br/>
              <w:t>Parameterliste:</w:t>
              <w:br/>
              <w:t/>
              <w:br/>
              <w:t>Validering: Kontrol af BetalingOrdningType</w:t>
              <w:br/>
              <w:t>Fejlnummer: 026</w:t>
              <w:br/>
              <w:t>Reaktion: Opdatering afvises. Besked om at Beta-lingOrdningType ikke findes</w:t>
              <w:br/>
              <w:t>Parameterliste:</w:t>
              <w:br/>
              <w:t/>
              <w:br/>
              <w:t>Validering: Kontrol af hvorvidt rate allerede er anvendt</w:t>
              <w:br/>
              <w:t>Fejlnummer: 027</w:t>
              <w:br/>
              <w:t>Reaktion: Opdatering afvises</w:t>
              <w:br/>
              <w:t>Parameterliste:</w:t>
              <w:br/>
              <w:t/>
              <w:br/>
              <w:t>Validering: Antal rater må højest være x</w:t>
              <w:br/>
              <w:t>Fejlnummer: 054</w:t>
              <w:br/>
              <w:t>Reaktion: Opdatering afvises</w:t>
              <w:br/>
              <w:t>Parameterliste: (BetalingOrdningID), (BetalingOrdningRateID)</w:t>
              <w:br/>
              <w:t/>
              <w:br/>
              <w:t>Validering: Ratebeløb skal være større end x</w:t>
              <w:br/>
              <w:t>Fejlnummer: 055</w:t>
              <w:br/>
              <w:t>Reaktion: Opdatering afvises</w:t>
              <w:br/>
              <w:t>Parameterliste: (BetalingOrdningID), (BetalingOrdningRateID)</w:t>
              <w:br/>
              <w:t/>
              <w:br/>
              <w:t>Validering: Validering af hvorvidt det er tilladt at ændre betalingsordning (på baggrund af statuskode på betalingsordning )</w:t>
              <w:br/>
              <w:t>Fejlnummer: 120</w:t>
              <w:br/>
              <w:t>Reaktion: Opdatering afvises</w:t>
              <w:br/>
              <w:t>Parameterliste: TransaktionLøbenummer, DMIBetalingOrdningID,  StatusKode (eksisterende parameter i DMI)</w:t>
              <w:br/>
              <w:t/>
              <w:br/>
              <w:t>Validering: Validering af hvorvidt det er tilladt at ændre betalingsordningrate (på baggrund af statuskode på betalingsordningrate )</w:t>
              <w:br/>
              <w:t>Fejlnummer: 121</w:t>
              <w:br/>
              <w:t>Reaktion: Opdatering afvises</w:t>
              <w:br/>
              <w:t>Parameterliste: TransaktionLøbenummer, DMIBetalingOrdningID, DMIBetalingOrdningRateID,  StatusKode (eksisterende parameter i DMI)</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Ved afmelding af PBS skal feltet ikke udfyldes når denne service kaldes.</w:t>
              <w:br/>
              <w:t/>
              <w:br/>
              <w:t>Dette er en synkron service. Leverancesikkerhed: Medium.</w:t>
              <w:br/>
              <w:t/>
              <w:br/>
              <w:t>Der er ingen kompenserende transaktioner for denne service.</w:t>
              <w:br/>
              <w:t>Servicen kaldes ca. 3000 gange i døgnet. Forudsætning: 2000 automatisk kald og 1000 manuelle.</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br/>
              <w:t>-</w:t>
              <w:tab/>
              <w:t>Eksisterer BetalingOrdningID</w:t>
              <w:br/>
              <w:t>-</w:t>
              <w:tab/>
              <w:t>Eksisterer BetalingOrdningRateID</w:t>
              <w:br/>
              <w:t>-</w:t>
              <w:tab/>
              <w:t>Må rate ændres? (kan f.eks. ikke ændres hvis den allerede er taget i anvendelse)</w:t>
              <w:br/>
              <w:t>-</w:t>
              <w:tab/>
              <w:t>Er BetalingOrdningType valid</w:t>
              <w:br/>
              <w:t>-</w:t>
              <w:tab/>
              <w:t>Validering af øvrige koder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BetalingOrdningOpretRateIndeks</w:t>
            </w:r>
            <w:bookmarkStart w:name="BetalingOrdningOpretRateIndeks"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Sorteringsindeks for rate (transitivt)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BetalingOrdningRateID</w:t>
            </w:r>
            <w:bookmarkStart w:name="BetalingOrdningRat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identifikation af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DMIBetalingOrdningÆndr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