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DMIBetalingOrdningHent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1.14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DMIBetalingOrdningHent har ansvaret for at hente en specifik betalingsordning for en given kunde i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forventes at kalder kender et specifikt BetalingsOrdning ID for at kalde denne service. ID'et kan eventuelt fremfindes ved at kalde DMIBetalingOrdningList.</w:t>
              <w:br/>
              <w:t>Udgangspunktet er at servicen henter alle oplysninger om BetalingsOrdning som kan være af interesse for systemer uden-for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viser de data der er gemt i DMI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DMIBetalingOrdningHent_I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*Søgekriterie*</w:t>
              <w:br/>
              <w:t>[</w:t>
              <w:br/>
              <w:t/>
              <w:tab/>
              <w:t>BetalingOrdningID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DMIBetalingOrdningHent_O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*Betalingsordning*</w:t>
              <w:br/>
              <w:t>[</w:t>
              <w:br/>
              <w:t/>
              <w:tab/>
              <w:t>BetalingOrdningID</w:t>
              <w:br/>
              <w:t/>
              <w:tab/>
              <w:t>*KundeStruktur*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(VirksomhedCVRNummer)</w:t>
              <w:br/>
              <w:t/>
              <w:tab/>
              <w:t/>
              <w:tab/>
              <w:t>(KundeNavn)</w:t>
              <w:br/>
              <w:t/>
              <w:tab/>
              <w:t/>
              <w:tab/>
              <w:t>(DriftFormKode)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*AlternativIndbetaler*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BetalingOrdningUdbAlternIndb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BetalingOrdningStart</w:t>
              <w:br/>
              <w:t/>
              <w:tab/>
              <w:t>(BetalingOrdningSlut)</w:t>
              <w:br/>
              <w:t/>
              <w:tab/>
              <w:t>BetalingOrdningType</w:t>
              <w:br/>
              <w:t/>
              <w:tab/>
              <w:t>(</w:t>
              <w:br/>
              <w:t/>
              <w:tab/>
              <w:t/>
              <w:tab/>
              <w:t>*BetalingOrdningErstatterID*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BetalingOrdningID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*BetalingOrdningStatus*</w:t>
              <w:br/>
              <w:t/>
              <w:tab/>
              <w:t>[</w:t>
              <w:br/>
              <w:t/>
              <w:tab/>
              <w:t/>
              <w:tab/>
              <w:t>BetalingOrdningStatusKode</w:t>
              <w:br/>
              <w:t/>
              <w:tab/>
              <w:t/>
              <w:tab/>
              <w:t>*BetalingOrdningStatusÅrsagKodeStruktur*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BetalingOrdningStatÅrsagKode</w:t>
              <w:br/>
              <w:t/>
              <w:tab/>
              <w:t/>
              <w:tab/>
              <w:t/>
              <w:tab/>
              <w:t>BetalingOrdningStatÅrsagBegr</w:t>
              <w:br/>
              <w:t/>
              <w:tab/>
              <w:t/>
              <w:tab/>
              <w:t/>
              <w:tab/>
              <w:t>(BetalingOrdningStatÅrsagTekst)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*BetalingOrdningBeløbStruktur*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BetalingOrdningBeløb</w:t>
              <w:br/>
              <w:t/>
              <w:tab/>
              <w:t/>
              <w:tab/>
              <w:t>(BetalingOrdningBeløbDKK)</w:t>
              <w:br/>
              <w:t/>
              <w:tab/>
              <w:t>]</w:t>
              <w:br/>
              <w:t/>
              <w:tab/>
              <w:t>BetalingOrdningBSMarkering</w:t>
              <w:br/>
              <w:t/>
              <w:tab/>
              <w:t>BetalingOrdningRykRate</w:t>
              <w:br/>
              <w:t/>
              <w:tab/>
              <w:t>BetalingOrdningRykRateGebyr</w:t>
              <w:br/>
              <w:t/>
              <w:tab/>
              <w:t>BetalingOrdningSidsteRateSRB</w:t>
              <w:br/>
              <w:t/>
              <w:tab/>
              <w:t>BetalingOrdningOprettelseDato</w:t>
              <w:br/>
              <w:t/>
              <w:tab/>
              <w:t>(BetalingOrdningIgangværRykker)</w:t>
              <w:br/>
              <w:t/>
              <w:tab/>
              <w:t>(BetalingOrdningPBSAftalenummer)</w:t>
              <w:br/>
              <w:t/>
              <w:tab/>
              <w:t>(BetalingOrdningKundeBankRegNr)</w:t>
              <w:br/>
              <w:t/>
              <w:tab/>
              <w:t>(BetalingOrdningKundeBankKonto)</w:t>
              <w:br/>
              <w:t/>
              <w:tab/>
              <w:t>BetalingOrdningPåmind</w:t>
              <w:br/>
              <w:t/>
              <w:tab/>
              <w:t>BetalingOrdningSendMeddelelse</w:t>
              <w:br/>
              <w:t/>
              <w:tab/>
              <w:t>BetalingOrdningOpsatAfSpor</w:t>
              <w:br/>
              <w:t/>
              <w:tab/>
              <w:t>(BetalingOrdningGiroSendFørSRB)</w:t>
              <w:br/>
              <w:t/>
              <w:tab/>
              <w:t>IndsatsID</w:t>
              <w:br/>
              <w:t/>
              <w:tab/>
              <w:t>(</w:t>
              <w:br/>
              <w:t/>
              <w:tab/>
              <w:t/>
              <w:tab/>
              <w:t>*AlternativAdresseStruktur*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*RateListe*</w:t>
              <w:br/>
              <w:t/>
              <w:tab/>
              <w:t>1{</w:t>
              <w:br/>
              <w:t/>
              <w:tab/>
              <w:t/>
              <w:tab/>
              <w:t>*Rate*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BetalingOrdningRateID</w:t>
              <w:br/>
              <w:t/>
              <w:tab/>
              <w:t/>
              <w:tab/>
              <w:t/>
              <w:tab/>
              <w:t>(BetalingOrdningOpretRateIndeks)</w:t>
              <w:br/>
              <w:t/>
              <w:tab/>
              <w:t/>
              <w:tab/>
              <w:t/>
              <w:tab/>
              <w:t>BetalingOrdningGiroFremsendt</w:t>
              <w:br/>
              <w:t/>
              <w:tab/>
              <w:t/>
              <w:tab/>
              <w:t/>
              <w:tab/>
              <w:t>BetalingOrdningBSFremsendt</w:t>
              <w:br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/>
              <w:tab/>
              <w:t>(ForventetIndbetalingOCRLinie)</w:t>
              <w:br/>
              <w:t/>
              <w:tab/>
              <w:t/>
              <w:tab/>
              <w:t/>
              <w:tab/>
              <w:t>*BetalingOrdningRateStatusOplysninger*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BetalingOrdningRateStatusKode</w:t>
              <w:br/>
              <w:t/>
              <w:tab/>
              <w:t/>
              <w:tab/>
              <w:t/>
              <w:tab/>
              <w:t/>
              <w:tab/>
              <w:t>*BetalingOrdningRateÅrsStruktur*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BetalingOrdningRateStatÅrsKode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BetalingOrdningRateStatÅrsBegr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(BetalingOrdningRateStatÅrTekst)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*IndbetalingListe*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*IndbetaltBeløb*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*IndbetalingBeløbStruktur*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DMIIndbetalingBeløb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(DMIIndbetalingBeløbDKK)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DMIIndbetalingDato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DMIIndbetalingID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*FordringOmfattetAfBetalingsordningListe*</w:t>
              <w:br/>
              <w:t/>
              <w:tab/>
              <w:t>1{</w:t>
              <w:br/>
              <w:t/>
              <w:tab/>
              <w:t/>
              <w:tab/>
              <w:t>*FordringOmfattetAfBetalingsordning*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*HæftelseRestBeløbStruktur*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DMIFordringTypeFradragsret</w:t>
              <w:br/>
              <w:t/>
              <w:tab/>
              <w:t/>
              <w:tab/>
              <w:t/>
              <w:tab/>
              <w:t>(BetalingOrdningDækPriorit)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*BetalingOrdningValg*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*ProcentAndel*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BetalingOrdningDækProcent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*DækningRækkefølgeBeløbStruktur*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BetalingOrdningDækBeløb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(BetalingOrdningDækBeløbDKK)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* 1-899: Specifikke valideringer for service:</w:t>
              <w:br/>
              <w:t/>
              <w:br/>
              <w:t>Validering: Kontrol af BetalingOrdingID</w:t>
              <w:br/>
              <w:t>Fejlnummer: 023</w:t>
              <w:br/>
              <w:t>Reaktion: Opdatering afvises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Medium.</w:t>
              <w:br/>
              <w:t/>
              <w:br/>
              <w:t>Der er ingen kompenserende transaktioner for denne service.</w:t>
              <w:br/>
              <w:t>Servicen kaldes ca. 6000 gange i døgnet. Forudsætning: 5000 automatiske kald og 1000 manuelle.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BetalingOrdningBeløbStruktur</w:t>
            </w:r>
            <w:bookmarkStart w:name="BetalingOrd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BetalingOrdningBeløb</w:t>
              <w:br/>
              <w:t>(BetalingOrdningBeløbDKK)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BetalingOrdningRateBeløbStruktur</w:t>
            </w:r>
            <w:bookmarkStart w:name="BetalingOrdningRa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BetalingOrdningRateBeløb</w:t>
              <w:br/>
              <w:t>(BetalingOrdningRateBeløbDKK)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BetalingOrdningRateÅrsStruktur</w:t>
            </w:r>
            <w:bookmarkStart w:name="BetalingOrdningRateÅr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BetalingOrdningRateStatÅrsKode</w:t>
              <w:br/>
              <w:t>BetalingOrdningRateStatÅrsBegr</w:t>
              <w:br/>
              <w:t>(BetalingOrdningRateStatÅrTekst)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BetalingOrdningStatusÅrsagKodeStruktur</w:t>
            </w:r>
            <w:bookmarkStart w:name="BetalingOrdningStatusÅrsagK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  <w:br/>
              <w:t>BetalingOrdningStatÅrsagBegr</w:t>
              <w:br/>
              <w:t>(BetalingOrdningStatÅrsagTekst)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DækningRækkefølgeBeløbStruktur</w:t>
            </w:r>
            <w:bookmarkStart w:name="DækningRækkefølg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BetalingOrdningDækBeløb</w:t>
              <w:br/>
              <w:t>(BetalingOrdningDækBeløbDKK)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HæftelseRestBeløbStruktur</w:t>
            </w:r>
            <w:bookmarkStart w:name="Hæftelse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HæftelseRestBeløb</w:t>
              <w:br/>
              <w:t>HæftelseRestBeløbDKK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IndbetalingBeløbStruktur</w:t>
            </w:r>
            <w:bookmarkStart w:name="In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DMIIndbetalingBeløb</w:t>
              <w:br/>
              <w:t>(DMIIndbetalingBeløbDKK)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</w:t>
            </w:r>
            <w:bookmarkStart w:name="BetalingOrd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BetalingOrdningBeløbDKK</w:t>
            </w:r>
            <w:bookmarkStart w:name="BetalingOrd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BetalingOrdningBSFremsendt</w:t>
            </w:r>
            <w:bookmarkStart w:name="BetalingOrdningBSFremsend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Betalingsordning fremsendt til BS (betalingsservice)</w:t>
              <w:br/>
              <w:t>Nej: Betalingsordning ikke fremsendt til BS (betalingsservice)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BetalingOrdningBSMarkering</w:t>
            </w:r>
            <w:bookmarkStart w:name="BetalingOrdningBS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betalingsordningen skal tilmeldes Betalingsservice.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</w:t>
            </w:r>
            <w:bookmarkStart w:name="BetalingOrdningDæk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udenlandsk valuta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BetalingOrdningDækBeløbDKK</w:t>
            </w:r>
            <w:bookmarkStart w:name="BetalingOrdningDæk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danske kroner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BetalingOrdningDækPriorit</w:t>
            </w:r>
            <w:bookmarkStart w:name="BetalingOrdningDæk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rækkefølge en indbetaling skal dække fordringer 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BetalingOrdningDækProcent</w:t>
            </w:r>
            <w:bookmarkStart w:name="BetalingOrdningDæk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10</w:t>
              <w:br/>
              <w:t>fractionDigits: 7</w:t>
              <w:br/>
              <w:t>maxInclusive: 999.9999999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procent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BetalingOrdningGiroFremsendt</w:t>
            </w:r>
            <w:bookmarkStart w:name="BetalingOrdningGiroFremsend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Betalingordning giro fremsendt.</w:t>
              <w:br/>
              <w:t>Nej:  Betalingordning giro ikke fremsendt.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BetalingOrdningGiroSendFørSRB</w:t>
            </w:r>
            <w:bookmarkStart w:name="BetalingOrdningGiroSendFør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dage for udsendelse af girokort før SRB. Anvendes hvis sagsbehandler ønsker at ændre på default antal dage før udsendelse.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BetalingOrdningIgangværRykker</w:t>
            </w:r>
            <w:bookmarkStart w:name="BetalingOrdningIgangværRykk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at betalingsordning er blevet rykket og at frist for betaling af denne ikke er overskredet eller betalt.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BetalingOrdningKundeBankKonto</w:t>
            </w:r>
            <w:bookmarkStart w:name="BetalingOrdningKundeBank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kontonummer hos et pengeinstitut mv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BetalingOrdningKundeBankRegNr</w:t>
            </w:r>
            <w:bookmarkStart w:name="BetalingOrdningKundeBankReg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4 cifret kode for det aktuelle pengeinstitut mv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BetalingOrdningOpretRateIndeks</w:t>
            </w:r>
            <w:bookmarkStart w:name="BetalingOrdningOpretRateIndek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Sorteringsindeks for rate (transitivt)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BetalingOrdningOprettelseDato</w:t>
            </w:r>
            <w:bookmarkStart w:name="BetalingOrdning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aftalen enten automatisk eller oprettet af sagbehandler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BetalingOrdningOpsatAfSpor</w:t>
            </w:r>
            <w:bookmarkStart w:name="BetalingOrdningOpsatAfSp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Betalingordning er opsat af spor.</w:t>
              <w:br/>
              <w:t>Nej: Betalingsordning er ikke opsat af spor.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BetalingOrdningPBSAftalenummer</w:t>
            </w:r>
            <w:bookmarkStart w:name="BetalingOrdningPBSAftal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dannes til brug for sagsbehandlers oprettelse af betaling via BS. Dannes med EFI kald til DMI indeholdende kundens reg.nr og kontonummer.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BetalingOrdningPåmind</w:t>
            </w:r>
            <w:bookmarkStart w:name="BetalingOrdningPåmi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Nej.</w:t>
              <w:br/>
              <w:t>Nej = Der skal  ikke sendes påmindelse til kunden.</w:t>
              <w:br/>
              <w:t>Ja  = Der skal  sendes påmindelse til kunden xx dage før indbetalingen af en rate eller rykker for rate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</w:t>
            </w:r>
            <w:bookmarkStart w:name="BetalingOrdningRa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BetalingOrdningRateBeløbDKK</w:t>
            </w:r>
            <w:bookmarkStart w:name="BetalingOrdningRat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BetalingOrdningRateSRBDato</w:t>
            </w:r>
            <w:bookmarkStart w:name="BetalingOrdningRate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sidste rettidige betaling af en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BetalingOrdningRateStatusKode</w:t>
            </w:r>
            <w:bookmarkStart w:name="BetalingOrdningRate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AKT, IAKT,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angive om raten er aktiveret, inaktiv eller annuleret.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BetalingOrdningRateStatÅrsBegr</w:t>
            </w:r>
            <w:bookmarkStart w:name="BetalingOrdningRateStatÅrs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forklaring til status på rate for betalingsordning.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BetalingOrdningRateStatÅrsKode</w:t>
            </w:r>
            <w:bookmarkStart w:name="BetalingOrdningRateStatÅr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baggrund for statuskode.</w:t>
              <w:br/>
              <w:t/>
              <w:br/>
              <w:t>Grundlæggende værdiset:</w:t>
              <w:br/>
              <w:t>IGANG: I gang</w:t>
              <w:br/>
              <w:t>FRITAGET: Fritaget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BetalingOrdningRateStatÅrTekst</w:t>
            </w:r>
            <w:bookmarkStart w:name="BetalingOrdningRateStatÅr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BetalingOrdningRykRate</w:t>
            </w:r>
            <w:bookmarkStart w:name="BetalingOrdningRykRa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Ja</w:t>
              <w:br/>
              <w:t>Ja  = Der skal  sendes rykker for en rate xx antal dage efter sidste rettidige indbetalingsdato.</w:t>
              <w:br/>
              <w:t>Nej = der skal ikke sendes rykker.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BetalingOrdningRykRateGebyr</w:t>
            </w:r>
            <w:bookmarkStart w:name="BetalingOrdningRykRateGeby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Ja</w:t>
              <w:br/>
              <w:t>Ja  = Der skal  tilskrives et rykkergebyr for rate xx.</w:t>
              <w:br/>
              <w:t>Nej = Der skal ikke tilskrives et rykkergebyr.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BetalingOrdningSendMeddelelse</w:t>
            </w:r>
            <w:bookmarkStart w:name="BetalingOrdningSendMeddel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Ja</w:t>
              <w:br/>
              <w:t>JA = Der udsendes meddelelse.</w:t>
              <w:br/>
              <w:t>Nej = Der udsendes ikke meddelelse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BetalingOrdningSidsteRateSRB</w:t>
            </w:r>
            <w:bookmarkStart w:name="BetalingOrdningSidsteRate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rates ønskede SRB. Anvendes f.eks. hvis der stilles krav om, at fordring skal være betalt inden ny periode forfal-der - f.eks. inden næste momsperiode er forfalden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BetalingOrdningSlut</w:t>
            </w:r>
            <w:bookmarkStart w:name="BetalingOrdning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ophører = inaktiv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BetalingOrdningStart</w:t>
            </w:r>
            <w:bookmarkStart w:name="BetalingOrdnin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gælder fra = SRB for 1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BetalingOrdningStatusKode</w:t>
            </w:r>
            <w:bookmarkStart w:name="BetalingOrdn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AKT, IAKT,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angive om betalingsordningen er aktiveret, inaktiv eller annuleret.</w:t>
              <w:br/>
              <w:t>Med en aktiv betalingsordning tilmeldes kunden til Nets (rateopkrævning eller betalingsservice)</w:t>
              <w:br/>
              <w:t>En inaktiv betalingsordning lagres i DMI og er passiv indtil den ændres til aktiv. Den kan også annulleres.</w:t>
              <w:br/>
              <w:t>En annulleret betalingsordning ønskes ikke anvendt mere.</w:t>
              <w:br/>
              <w:t/>
              <w:br/>
              <w:t>Værdisæt:</w:t>
              <w:br/>
              <w:t>AKT: Aktiv</w:t>
              <w:br/>
              <w:t>IAKT: Inaktiv</w:t>
              <w:br/>
              <w:t>ANNU: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BetalingOrdningStatÅrsagBegr</w:t>
            </w:r>
            <w:bookmarkStart w:name="BetalingOrdningStat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forklaring til betalingsordningstatus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</w:r>
            <w:bookmarkStart w:name="BetalingOrdningStat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IGAN, FSTK, AFAC, BETA, MISL, SPOS, SABV,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baggrund for statuskode.</w:t>
              <w:br/>
              <w:t/>
              <w:br/>
              <w:t>Værdisæt:</w:t>
              <w:br/>
              <w:t>IGAN: Igangværende</w:t>
              <w:br/>
              <w:t>FSTK: Forslag til betalingsordning sendt til kunde</w:t>
              <w:br/>
              <w:t>AFAC: Afventer accept</w:t>
              <w:br/>
              <w:t>BETA: Betalt</w:t>
              <w:br/>
              <w:t>MISL: Misligholdt</w:t>
              <w:br/>
              <w:t>SPOS: Sporskifte</w:t>
              <w:br/>
              <w:t>SABV: Sagsbehandlervalg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BetalingOrdningStatÅrsagTekst</w:t>
            </w:r>
            <w:bookmarkStart w:name="BetalingOrdningStat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BetalingOrdningType</w:t>
            </w:r>
            <w:bookmarkStart w:name="BetalingOr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enumeration: BOEFGSA, BOFRIAK, BOGÆLSA, BOREKON, FRIAFDR, KULANCE, SBFRAD, SBTVAD, SBTVAP, SBKULA, TVAFPRO, TVUAFDR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betalingsordning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BetalingOrdningUdbAlternIndb</w:t>
            </w:r>
            <w:bookmarkStart w:name="BetalingOrdningUdbAlternInd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et overskydende beløb skal udbetales til den alternative indbetaler.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DMIFordringTypeFradragsret</w:t>
            </w:r>
            <w:bookmarkStart w:name="DMIFordringTypeFradrags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en fordring er fradragsberettiget og skal indberettes til RKO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</w:t>
            </w:r>
            <w:bookmarkStart w:name="DMIIn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den angivne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DMIIndbetalingBeløbDKK</w:t>
            </w:r>
            <w:bookmarkStart w:name="DMIIn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</w:t>
            </w:r>
            <w:bookmarkStart w:name="DMIIn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indbetalingen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ForventetIndbetalingOCRLinie</w:t>
            </w:r>
            <w:bookmarkStart w:name="ForventetIndbetalingOCRLini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OCR linien incl klammer, kontonummer og alt nødvendigt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</w:t>
            </w:r>
            <w:bookmarkStart w:name="Hæftelse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i den indrapporterede valuta.</w:t>
              <w:br/>
              <w:t>Den del af fordringens restbeløb som hæfteren hæfter for.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HæftelseRestBeløbDKK</w:t>
            </w:r>
            <w:bookmarkStart w:name="Hæftelse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omregnet til danske kroner.</w:t>
              <w:br/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DMIBetalingOrdningHent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