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DMIUdbetalingList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1.22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16-12-2010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en liste af udbetalinger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bruges til at fremsøge en række udbetalinger ud fra en række søgekriterier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Søgekriterier:</w:t>
              <w:br/>
              <w:t>1. Specifikt id</w:t>
              <w:br/>
              <w:t>2. Beløb og periode</w:t>
              <w:br/>
              <w:t>3. Kunde og periode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*SøgekriterierValg*</w:t>
              <w:br/>
              <w:t>[</w:t>
              <w:br/>
              <w:t/>
              <w:tab/>
              <w:t>*Nr1SpecifikSøgning*</w:t>
              <w:br/>
              <w:t/>
              <w:tab/>
              <w:t>[</w:t>
              <w:br/>
              <w:t/>
              <w:tab/>
              <w:t/>
              <w:tab/>
              <w:t>*UdbetalingIDList*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DMIUdbetalingID</w:t>
              <w:br/>
              <w:t/>
              <w:tab/>
              <w:t/>
              <w:tab/>
              <w:t>}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*Nr2BeløbPeriode*</w:t>
              <w:br/>
              <w:t/>
              <w:tab/>
              <w:t>[</w:t>
              <w:br/>
              <w:t/>
              <w:tab/>
              <w:t/>
              <w:tab/>
              <w:t>DMIUdbetalingBeløbFra</w:t>
              <w:br/>
              <w:t/>
              <w:tab/>
              <w:t/>
              <w:tab/>
              <w:t>DMIUdbetalingBeløbTil</w:t>
              <w:br/>
              <w:t/>
              <w:tab/>
              <w:t/>
              <w:tab/>
              <w:t>DMIUdbetalingDatoFra</w:t>
              <w:br/>
              <w:t/>
              <w:tab/>
              <w:t/>
              <w:tab/>
              <w:t>DMIUdbetalingDatoTil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*Nr3KundePeriode*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DMIUdbetalingDatoFra</w:t>
              <w:br/>
              <w:t/>
              <w:tab/>
              <w:t/>
              <w:tab/>
              <w:t>DMIUdbetalingDatoTil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*Udbetaling*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DMIUdbetalingID</w:t>
              <w:br/>
              <w:t/>
              <w:tab/>
              <w:t/>
              <w:tab/>
              <w:t>DMITransaktionLøbenummer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*UdbetalingBeløbStruktur*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DMIUdbetalingBeløb</w:t>
              <w:br/>
              <w:t/>
              <w:tab/>
              <w:t/>
              <w:tab/>
              <w:t/>
              <w:tab/>
              <w:t>(DMIUdbetalingBeløbDKK)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DMIUdbetalingDato</w:t>
              <w:br/>
              <w:t/>
              <w:tab/>
              <w:t/>
              <w:tab/>
              <w:t>(DMIUdbetalingBogførtDen)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(DMIUdbetalingNote)</w:t>
              <w:br/>
              <w:t/>
              <w:tab/>
              <w:t/>
              <w:tab/>
              <w:t>(DMIUdbetalingNoteDato)</w:t>
              <w:br/>
              <w:t/>
              <w:tab/>
              <w:t/>
              <w:tab/>
              <w:t>DMIUdbetalingStatus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*AlternativtKundenummer*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*AdresseOplysning*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*DMIUdbetalingÅrsagStruktur*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DMIUdbetalingÅrsagKode</w:t>
              <w:br/>
              <w:t/>
              <w:tab/>
              <w:t/>
              <w:tab/>
              <w:t/>
              <w:tab/>
              <w:t>DMIUdbetalingÅrsagBegr</w:t>
              <w:br/>
              <w:t/>
              <w:tab/>
              <w:t/>
              <w:tab/>
              <w:t/>
              <w:tab/>
              <w:t>(DMIUdbetalingÅrsagTekst)</w:t>
              <w:br/>
              <w:t/>
              <w:tab/>
              <w:t/>
              <w:tab/>
              <w:t>]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</w:t>
              <w:br/>
              <w:t>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DMIUdbetalingÅrsagStruktur</w:t>
            </w:r>
            <w:bookmarkStart w:name="DMIUdbetalin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  <w:br/>
              <w:t>DMIUdbetalingÅrsagBegr</w:t>
              <w:br/>
              <w:t>(DMIUdbetalingÅrsagTekst)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TransaktionDækningElementStruktur</w:t>
            </w:r>
            <w:bookmarkStart w:name="TransaktionDækningEle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UdbetalingBeløbStruktur</w:t>
            </w:r>
            <w:bookmarkStart w:name="U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DMIUdbetalingBeløb</w:t>
              <w:br/>
              <w:t>(DMIUdbetalingBeløbDKK)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</w:t>
            </w:r>
            <w:bookmarkStart w:name="DMIU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i den udbetalende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DMIUdbetalingBeløbDKK</w:t>
            </w:r>
            <w:bookmarkStart w:name="DMIU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DMIUdbetalingBeløbFra</w:t>
            </w:r>
            <w:bookmarkStart w:name="DMIUdbetalingBeløb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DMIUdbetalingBeløbTil</w:t>
            </w:r>
            <w:bookmarkStart w:name="DMIUdbetalingBeløb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DMIUdbetalingBogførtDen</w:t>
            </w:r>
            <w:bookmarkStart w:name="DMIU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</w:t>
            </w:r>
            <w:bookmarkStart w:name="DMIU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udbetaling af 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DMIUdbetalingDatoFra</w:t>
            </w:r>
            <w:bookmarkStart w:name="DMIUdbetaling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DMIUdbetalingDatoTil</w:t>
            </w:r>
            <w:bookmarkStart w:name="DMIUdbetaling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DMIUdbetalingID</w:t>
            </w:r>
            <w:bookmarkStart w:name="DMIU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</w:t>
            </w:r>
            <w:bookmarkStart w:name="DMIUdbetaling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udbetalingen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DMIUdbetalingNoteDato</w:t>
            </w:r>
            <w:bookmarkStart w:name="DMIUdbetalingNot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begrundelsen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DMIUdbetalingÅrsagBegr</w:t>
            </w:r>
            <w:bookmarkStart w:name="DMIU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for, hvorfor en udbetaling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</w:r>
            <w:bookmarkStart w:name="DMIU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AND, FMEIND, FMELØN, IFAFT, IOMR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årsag til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DMIUdbetalingÅrsagTekst</w:t>
            </w:r>
            <w:bookmarkStart w:name="DMIU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DMIUdbetalingList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