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EFIHæftelseForældelseModtag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1.4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08-03-2011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overvåger hæftelsesforældelse for inddrivelsesfordringer.</w:t>
              <w:br/>
              <w:t/>
              <w:br/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kaldes kun periodevist, når DMI udfører overvågningen.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EFIHæftelseForældelseModtag_I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*HæftelseForældelseListe*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*HæftelseForældelse*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HæftelseForældelseDato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/>
              <w:tab/>
              <w:t>HæftelseMåForælde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EFIHæftelseForældelseModtag_O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EFIHæftelseForældelseModtag. Valideringen foretages i EFI.</w:t>
              <w:br/>
              <w:t>______________________________________________</w:t>
              <w:br/>
              <w:t>Validering: Teknisk fejl ved opdatering</w:t>
              <w:br/>
              <w:t>Fejlnummer: 903</w:t>
              <w:br/>
              <w:t>Reaktion: Opdatering afvises</w:t>
              <w:br/>
              <w:t>Parameterliste: DMIFordringEFIFordringID, KundeNummer, KundeType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/>
              <w:br/>
              <w:t>Frekvens: Periodevis middel,</w:t>
              <w:br/>
              <w:t/>
              <w:br/>
              <w:t>Der er ingen kompenserende transaktioner for denne service.</w:t>
              <w:br/>
              <w:t/>
              <w:br/>
              <w:t>Transaktionsvolumen: Lav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HæftelseMåForælde</w:t>
            </w:r>
            <w:bookmarkStart w:name="HæftelseMåForæ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EFIHæftelseForældelseModtag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