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EFIIndbetalingModtaget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1.3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Hændelsen informerer om at en indbetaling er modtaget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EFI kan i forbindelse med kaldet til DMIForventetIndbetalingOpret angive, at der ønskes en hændelse, når den givne ForventetIndbetalingNøgle bliver brugt til en indbetaling. Denne hændelse opfylder dette behov.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Hændelsen skal først sendes når indbetalingen er dækket fuldt ud manuelt eller automatisk.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EFIIndbetalingModtaget_I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*InformationTilEFIIndbetalingModtagetListe*</w:t>
              <w:br/>
              <w:t>0{</w:t>
              <w:br/>
              <w:t/>
              <w:tab/>
              <w:t>*InformationTilEFIIndbetalingModtaget*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*BetalingsIdentifikation*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*BetalingOrdningForventetIndbetaling*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BetalingOrdningID</w:t>
              <w:br/>
              <w:t/>
              <w:tab/>
              <w:t/>
              <w:tab/>
              <w:t/>
              <w:tab/>
              <w:t/>
              <w:tab/>
              <w:t>BetalingOrdningRateID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>*ForventetIndbetaling*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ForventetIndbetalingID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*IndbetalingBeløbStruktur*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DMIIndbetalingBeløb</w:t>
              <w:br/>
              <w:t/>
              <w:tab/>
              <w:t/>
              <w:tab/>
              <w:t/>
              <w:tab/>
              <w:t>(DMIIndbetalingBeløbDKK)</w:t>
              <w:br/>
              <w:t/>
              <w:tab/>
              <w:t/>
              <w:tab/>
              <w:t>]</w:t>
              <w:br/>
              <w:t/>
              <w:tab/>
              <w:t/>
              <w:tab/>
              <w:t>(ForventetIndbetalingID)</w:t>
              <w:br/>
              <w:t/>
              <w:tab/>
              <w:t/>
              <w:tab/>
              <w:t>DMIIndbetalingDato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EFIIndbetalingModtaget_O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______________________________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  <w:br/>
              <w:t/>
              <w:br/>
              <w:t>Valideringer på services er samlet i det fælles dokument "DMI-Valideringer-Fejlkoder_yyyymmdd.docx"</w:t>
              <w:br/>
              <w:t>Vær opmærksom på at valideringer på servicebeskrivelsen ikke altid er opdateret, og at det er dokumentet som er gældende.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asynkron hændelse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Tekniske krav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Fejllister er dokumentation som leverandøren leverer og er ikke en del af service-beskrivelserne. De lægges i stedet som bilag.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IndbetalingBeløbStruktur</w:t>
            </w:r>
            <w:bookmarkStart w:name="Indbetal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DMIIndbetalingBeløb</w:t>
              <w:br/>
              <w:t>(DMIIndbetalingBeløbDKK)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BetalingOrdningID</w:t>
            </w:r>
            <w:bookmarkStart w:name="BetalingOrdn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som indentificerer betalingsordningen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BetalingOrdningRateID</w:t>
            </w:r>
            <w:bookmarkStart w:name="BetalingOrdningRate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betalingsordning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DMIIndbetalingBeløb</w:t>
            </w:r>
            <w:bookmarkStart w:name="DMIIndbetal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indbetalte beløb den angivne valuta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DMIIndbetalingBeløbDKK</w:t>
            </w:r>
            <w:bookmarkStart w:name="DMIIndbetal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indbetalte beløb omregnet til danske kr.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DMIIndbetalingDato</w:t>
            </w:r>
            <w:bookmarkStart w:name="DMIIndbetal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indbetalingen er foretaget.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ForventetIndbetalingID</w:t>
            </w:r>
            <w:bookmarkStart w:name="ForventetIn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forventede indbetaling.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EFIIndbetalingModtaget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