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DMIHæftelseForældelseList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1.11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30-09-2010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DMIHæftelseForældelseList har ansvaret for at liste de gyldige forældelsesdatoer for et hæftelsesforhold og liste de historiske forældelsesdatoer.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DMIHæftelseForældelseList_I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*KundeFordringListe*</w:t>
              <w:br/>
              <w:t>1{</w:t>
              <w:br/>
              <w:t/>
              <w:tab/>
              <w:t>*KundeFordring*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(DMIFordringEFIFordringID)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DMIHæftelseForældelseList_O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*HæftelseForholdListe*</w:t>
              <w:br/>
              <w:t>0{</w:t>
              <w:br/>
              <w:t/>
              <w:tab/>
              <w:t>*HæftelseForhold*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*FordringListe*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*Fordring*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*HæftelseIdentifikation*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*HæftelseIndberetter*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*DMIIndberetterHentStruktur*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DMIIndberetterDatoTid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HæftelseForm</w:t>
              <w:br/>
              <w:t/>
              <w:tab/>
              <w:t/>
              <w:tab/>
              <w:t/>
              <w:tab/>
              <w:t/>
              <w:tab/>
              <w:t>(HæftelseSubsidiær)</w:t>
              <w:br/>
              <w:t/>
              <w:tab/>
              <w:t/>
              <w:tab/>
              <w:t/>
              <w:tab/>
              <w:t/>
              <w:tab/>
              <w:t>*GældendeForældelse*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HæftelseForældelseDato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HæftelseMåAfskrives</w:t>
              <w:br/>
              <w:t/>
              <w:tab/>
              <w:t/>
              <w:tab/>
              <w:t/>
              <w:tab/>
              <w:t/>
              <w:tab/>
              <w:t>(HæftelseMåAfskrivesEfterDato)</w:t>
              <w:br/>
              <w:t/>
              <w:tab/>
              <w:t/>
              <w:tab/>
              <w:t/>
              <w:tab/>
              <w:t/>
              <w:tab/>
              <w:t>(HæftelseMåAfskrivesEfterDatoNote)</w:t>
              <w:br/>
              <w:t/>
              <w:tab/>
              <w:t/>
              <w:tab/>
              <w:t/>
              <w:tab/>
              <w:t/>
              <w:tab/>
              <w:t>*FordringHæftelseForældelseListe*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*FordringHæftelseForældelse*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HæftelseForældelseAutoOpdater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(HæftelseForældelseDato)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HæftelseForældelseDatoAktiv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HæftelseForældelseDatoID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HæftelseBasisDatoForBeregning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*HæftelseForældelseÅrsagStruktur*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HæftelseForældelseÅrsagKode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HæftelseForældelseÅrsagBegr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(HæftelseForældelseÅrsagTekst)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HæftelseForældelseOpdateretDen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DMI: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 (hvis angivet som søgekriterium)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Validering: Kontrol af hvorvidt fordring findes (hvis angivet som søgekriterium)</w:t>
              <w:br/>
              <w:t>Fejlnummer: 007</w:t>
              <w:br/>
              <w:t>Reaktion: Besked om at fordring ikke findes</w:t>
              <w:br/>
              <w:t>Parameterliste: DMIFordringEFIFordringID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Høj</w:t>
              <w:br/>
              <w:t>Frekvens: Periodevis høj</w:t>
              <w:br/>
              <w:t>Der er ingen kompenserende transaktioner for denne service.</w:t>
              <w:br/>
              <w:t>Transaktionsvolumen: Høj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DMIIndberetterHentStruktur</w:t>
            </w:r>
            <w:bookmarkStart w:name="DMIIndberetterH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  <w:br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HæftelseForældelseÅrsagStruktur</w:t>
            </w:r>
            <w:bookmarkStart w:name="HæftelseForældelse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HæftelseForældelseÅrsagKode</w:t>
              <w:br/>
              <w:t>HæftelseForældelseÅrsagBegr</w:t>
              <w:br/>
              <w:t>(HæftelseForældelseÅrsagTekst)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</w:r>
            <w:bookmarkStart w:name="DMIIndberetter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hvor indberetningen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HæftelseBasisDatoForBeregning</w:t>
            </w:r>
            <w:bookmarkStart w:name="HæftelseBasisDatoForBereg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Ved oprettelse beregner DMI HæftelseForældelseDato ud fra den fremsendte HæftelseBasisDatoForBeregning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HæftelseForm</w:t>
            </w:r>
            <w:bookmarkStart w:name="HæftelseFor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PRO, SOL, SUB, ALM,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  <w:br/>
              <w:t/>
              <w:br/>
              <w:t>Værdisæt:</w:t>
              <w:br/>
              <w:t>PRO: Pro rata</w:t>
              <w:br/>
              <w:t>SOL: Solidarisk</w:t>
              <w:br/>
              <w:t>SUB: Subsidiær</w:t>
              <w:br/>
              <w:t>ALM: Alm. Hæftelse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HæftelseForældelseAutoOpdater</w:t>
            </w:r>
            <w:bookmarkStart w:name="HæftelseForældelseAutoOpdat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Flag angiver om DMI automatisk må opdatere forsældelsesdatoen. Ja/Nej. Default Ja. Hvis Nej er det kun fordringshaver eller sagsbehandler der kan opdatere datoen.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HæftelseForældelseDato</w:t>
            </w:r>
            <w:bookmarkStart w:name="HæftelseForæl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HæftelseForældelseDatoAktiv</w:t>
            </w:r>
            <w:bookmarkStart w:name="HæftelseForældelseDatoAktiv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Hvorvidt den pågældende forældelsesdato er aktiv/inaktiv hhv. Ja/Nej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HæftelseForældelseDatoID</w:t>
            </w:r>
            <w:bookmarkStart w:name="HæftelseForældelseDato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Vilkårligt unikt identifikationsnummer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HæftelseForældelseOpdateretDen</w:t>
            </w:r>
            <w:bookmarkStart w:name="HæftelseForældelseOpdateretDe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Datoen for ændringen/opdateringen af forældelse.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HæftelseForældelseÅrsagBegr</w:t>
            </w:r>
            <w:bookmarkStart w:name="HæftelseForældelse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HæftelseForældelseÅrsagKode</w:t>
            </w:r>
            <w:bookmarkStart w:name="HæftelseForældelse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hvilken indsats der har opdateret forældelsen. Angiver en kombination af indsatser og afgørelser mv. fx iværksættelse af lønindeholdelse eller ophør af henstand.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HæftelseForældelseÅrsagTekst</w:t>
            </w:r>
            <w:bookmarkStart w:name="HæftelseForældelse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 for valg af årsag=Anden.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</w:t>
            </w:r>
            <w:bookmarkStart w:name="HæftelseMåAfskrive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hæftelsen automatisk må afskrives ved forældelse. Sættes via udvalgsregler implementeret i SKAT DW (ja=true).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HæftelseMåAfskrivesEfterDato</w:t>
            </w:r>
            <w:bookmarkStart w:name="HæftelseMåAfskrivesEfter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hvorefter hæftelsen må afskrives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HæftelseMåAfskrivesEfterDatoNote</w:t>
            </w:r>
            <w:bookmarkStart w:name="HæftelseMåAfskrivesEfterDatoNo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der er markering for HæftelseMåAfskrives inkl. dato indsat (HæftelseMåAfskrivesEfterDato) noteres en kort begrundelse for at udsætte afskrivelsestidspunktet.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HæftelseSubsidiær</w:t>
            </w:r>
            <w:bookmarkStart w:name="HæftelseSubsidi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POT, POTS, REL, RELS, SSLO, SÆGS, SAND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element angives kun for HæftelseForm = SUB</w:t>
              <w:br/>
              <w:t/>
              <w:br/>
              <w:t>Værdisæt:</w:t>
              <w:br/>
              <w:t>POT: Potentiel</w:t>
              <w:br/>
              <w:t>POTS: Potentiel med Sikkerhed</w:t>
              <w:br/>
              <w:t>REL: Reel</w:t>
              <w:br/>
              <w:t>RELS: Reel med Sikkerhed</w:t>
              <w:br/>
              <w:t>SSLO: Sikkerhed - Samlivshophævelse</w:t>
              <w:br/>
              <w:t>SÆGS: Sikkerhed - Ægtefælle gældssaneret</w:t>
              <w:br/>
              <w:t>SAND: Sikkerhed -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DMIHæftelseForældelseList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