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tblPrEx>
          <w:tblCellMar>
            <w:top w:w="0" w:type="dxa"/>
            <w:bottom w:w="0" w:type="dxa"/>
          </w:tblCellMar>
        </w:tblPrEx>
        <w:trPr>
          <w:trHeight w:hRule="exact" w:val="113"/>
        </w:trPr>
        <w:tc>
          <w:tcPr>
            <w:tcW w:w="10345" w:type="dxa"/>
            <w:gridSpan w:val="6"/>
            <w:shd w:val="clear" w:color="auto" w:fill="B3B3B3"/>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tblPrEx>
          <w:tblCellMar>
            <w:top w:w="0" w:type="dxa"/>
            <w:bottom w:w="0" w:type="dxa"/>
          </w:tblCellMar>
        </w:tblPrEx>
        <w:trPr>
          <w:trHeight w:val="283"/>
        </w:trPr>
        <w:tc>
          <w:tcPr>
            <w:tcW w:w="10345" w:type="dxa"/>
            <w:gridSpan w:val="6"/>
            <w:tcBorders>
              <w:bottom w:val="single" w:sz="6" w:space="0" w:color="auto"/>
            </w:tcBorders>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Pr>
                <w:rFonts w:ascii="Arial" w:hAnsi="Arial" w:cs="Arial"/>
                <w:b/>
                <w:sz w:val="30"/>
              </w:rPr>
              <w:t>PersonSelvangivelseOpret</w:t>
            </w:r>
          </w:p>
        </w:tc>
      </w:tr>
      <w:tr>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tblPrEx>
          <w:tblCellMar>
            <w:top w:w="0" w:type="dxa"/>
            <w:bottom w:w="0" w:type="dxa"/>
          </w:tblCellMar>
        </w:tblPrEx>
        <w:trPr>
          <w:trHeight w:val="283"/>
        </w:trPr>
        <w:tc>
          <w:tcPr>
            <w:tcW w:w="1134" w:type="dxa"/>
            <w:tcBorders>
              <w:top w:val="nil"/>
            </w:tcBorders>
            <w:shd w:val="clear" w:color="auto" w:fill="auto"/>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p>
        </w:tc>
        <w:tc>
          <w:tcPr>
            <w:tcW w:w="2835" w:type="dxa"/>
            <w:tcBorders>
              <w:top w:val="nil"/>
            </w:tcBorders>
            <w:shd w:val="clear" w:color="auto" w:fill="auto"/>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Skat2012</w:t>
            </w:r>
          </w:p>
        </w:tc>
        <w:tc>
          <w:tcPr>
            <w:tcW w:w="1134" w:type="dxa"/>
            <w:tcBorders>
              <w:top w:val="nil"/>
            </w:tcBorders>
            <w:shd w:val="clear" w:color="auto" w:fill="auto"/>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3.6</w:t>
            </w:r>
          </w:p>
        </w:tc>
        <w:tc>
          <w:tcPr>
            <w:tcW w:w="1701" w:type="dxa"/>
            <w:tcBorders>
              <w:top w:val="nil"/>
            </w:tcBorders>
            <w:shd w:val="clear" w:color="auto" w:fill="auto"/>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23-5-2012</w:t>
            </w:r>
          </w:p>
        </w:tc>
        <w:tc>
          <w:tcPr>
            <w:tcW w:w="1701" w:type="dxa"/>
            <w:tcBorders>
              <w:top w:val="nil"/>
            </w:tcBorders>
            <w:shd w:val="clear" w:color="auto" w:fill="auto"/>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7-2-2013</w:t>
            </w:r>
          </w:p>
        </w:tc>
      </w:tr>
      <w:tr>
        <w:tblPrEx>
          <w:tblCellMar>
            <w:top w:w="0" w:type="dxa"/>
            <w:bottom w:w="0" w:type="dxa"/>
          </w:tblCellMar>
        </w:tblPrEx>
        <w:trPr>
          <w:trHeight w:val="283"/>
        </w:trPr>
        <w:tc>
          <w:tcPr>
            <w:tcW w:w="10345" w:type="dxa"/>
            <w:gridSpan w:val="6"/>
            <w:shd w:val="clear" w:color="auto" w:fill="B3B3B3"/>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tblPrEx>
          <w:tblCellMar>
            <w:top w:w="0" w:type="dxa"/>
            <w:bottom w:w="0" w:type="dxa"/>
          </w:tblCellMar>
        </w:tblPrEx>
        <w:trPr>
          <w:trHeight w:val="283"/>
        </w:trPr>
        <w:tc>
          <w:tcPr>
            <w:tcW w:w="10345" w:type="dxa"/>
            <w:gridSpan w:val="6"/>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indberette den udvidede selvangivelse (S10) og returnere den opdaterede årsopgørelse inkl. evt. ægtefælles.</w:t>
            </w:r>
          </w:p>
        </w:tc>
      </w:tr>
      <w:tr>
        <w:tblPrEx>
          <w:tblCellMar>
            <w:top w:w="0" w:type="dxa"/>
            <w:bottom w:w="0" w:type="dxa"/>
          </w:tblCellMar>
        </w:tblPrEx>
        <w:trPr>
          <w:trHeight w:val="283"/>
        </w:trPr>
        <w:tc>
          <w:tcPr>
            <w:tcW w:w="10345" w:type="dxa"/>
            <w:gridSpan w:val="6"/>
            <w:shd w:val="clear" w:color="auto" w:fill="B3B3B3"/>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tblPrEx>
          <w:tblCellMar>
            <w:top w:w="0" w:type="dxa"/>
            <w:bottom w:w="0" w:type="dxa"/>
          </w:tblCellMar>
        </w:tblPrEx>
        <w:trPr>
          <w:trHeight w:val="283"/>
        </w:trPr>
        <w:tc>
          <w:tcPr>
            <w:tcW w:w="10345" w:type="dxa"/>
            <w:gridSpan w:val="6"/>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enkelte angivelsesbeløb identificeres med feltnumre og angives i blokkene BeløbsfeltListe. Felter, som ikke er beløb, angives i de navngivne felter. Feltnummerlister pr. skatteår er dokumenteret særskilt i regneark.</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danner og returnerer både en årsopgørelse som PDF og som en struktur med alle felter på årsopgørelsen.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r>
      <w:tr>
        <w:tblPrEx>
          <w:tblCellMar>
            <w:top w:w="0" w:type="dxa"/>
            <w:bottom w:w="0" w:type="dxa"/>
          </w:tblCellMar>
        </w:tblPrEx>
        <w:trPr>
          <w:trHeight w:val="283"/>
        </w:trPr>
        <w:tc>
          <w:tcPr>
            <w:tcW w:w="10345" w:type="dxa"/>
            <w:gridSpan w:val="6"/>
            <w:shd w:val="clear" w:color="auto" w:fill="B3B3B3"/>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tblPrEx>
          <w:tblCellMar>
            <w:top w:w="0" w:type="dxa"/>
            <w:bottom w:w="0" w:type="dxa"/>
          </w:tblCellMar>
        </w:tblPrEx>
        <w:trPr>
          <w:trHeight w:val="283"/>
        </w:trPr>
        <w:tc>
          <w:tcPr>
            <w:tcW w:w="10345" w:type="dxa"/>
            <w:gridSpan w:val="6"/>
            <w:shd w:val="clear" w:color="auto" w:fill="FFFFFF"/>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tblPrEx>
          <w:tblCellMar>
            <w:top w:w="0" w:type="dxa"/>
            <w:bottom w:w="0" w:type="dxa"/>
          </w:tblCellMar>
        </w:tblPrEx>
        <w:trPr>
          <w:trHeight w:val="283"/>
        </w:trPr>
        <w:tc>
          <w:tcPr>
            <w:tcW w:w="10345" w:type="dxa"/>
            <w:gridSpan w:val="6"/>
            <w:shd w:val="clear" w:color="auto" w:fill="FFFFFF"/>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PersonSelvangivelseOpret_I</w:t>
            </w:r>
          </w:p>
        </w:tc>
      </w:tr>
      <w:tr>
        <w:tblPrEx>
          <w:tblCellMar>
            <w:top w:w="0" w:type="dxa"/>
            <w:bottom w:w="0" w:type="dxa"/>
          </w:tblCellMar>
        </w:tblPrEx>
        <w:trPr>
          <w:trHeight w:val="283"/>
        </w:trPr>
        <w:tc>
          <w:tcPr>
            <w:tcW w:w="10345" w:type="dxa"/>
            <w:gridSpan w:val="6"/>
            <w:shd w:val="clear" w:color="auto" w:fill="FFFFFF"/>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Angiver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PersonSelvangivelseIndkomstÅr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BeløbsfeltListe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Beløbsfelt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BlanketFeltNummer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SelvangivelseFeltIndholdBeløb</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(PersonSelvangivelseVirksomhedOphør)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(PersonSelvangivelseVirksomhedOphørTidligere)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(PersonSelvangivelseHenstandsbegæring)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(PersonSelvangivelseBeskatningsordning)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(PersonSelvangivelseFradragHelårsomregning)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(PersonSelvangivelseRevisorindberetning)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(PersonSelvangivelseEjendomsoplysningAccept)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(PersonSelvangivelseEjendomsoplysningSupplement)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RegnskabAngivelseListe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RegnskabAngivelse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Identifikator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(RegnskabAngivelseOplysningsfritagelse)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(RegnskabAngivelseOplysningsfritagelseÅrsag)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(RegnskabAngivelseRevisorbistand)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(RegnskabAngivelseRevisorbistandArt)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(RegnskabAngivelseRevisorerklæring)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(RegnskabAngivelseRevisorforbehold)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(RegnskabAngivelsePrivateAndeleArt)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(RegnskabAngivelseGældseftergivelse)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EjendomsavanceAngivelseListe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EjendomsavanceAngivelse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EjendomsavanceAngivelseGenanbringelsePlacering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EjendomIdentifikationValg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UdenlandskEjendom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Salg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EjendomIdentifikationValg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UdenlandskEjendom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EjendomAngivelseListe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EjendomAngivelse*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EjendomIdentifikationValg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UdenlandskEjendom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IkkeRegistreret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(EjendomAngivelseEjerandel)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(EjendomAngivelseErhvervetFør1998)</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(EjendomAngivelseEjendomstype)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(EjendomAngivelseOvertagelsesdato)</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(EjendomAngivelseIndflytningsdato)</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(EjendomAngivelseIndflytningEfterIndkomstår)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(EjendomAngivelseKøberOvertagelsesdato)</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(EjendomAngivelseUdflytningsdato)</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(EjendomAngivelseUbeboeligdage)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(EjendomAngivelseDelvisUdlejningsdage)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(EjendomAngivelseDelvisUdlejningsandel)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(EjendomAngivelseHelUdlejningsdage)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(EjendomAngivelseErhvervsanvendelsesandel)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(EjendomAngivelseErhvervsanvendelsesdage)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(EjendomAngivelseErhvervsudlejningsdage)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(UdenlandskEjendomBeskatningKode)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tblPrEx>
          <w:tblCellMar>
            <w:top w:w="0" w:type="dxa"/>
            <w:bottom w:w="0" w:type="dxa"/>
          </w:tblCellMar>
        </w:tblPrEx>
        <w:trPr>
          <w:trHeight w:val="283"/>
        </w:trPr>
        <w:tc>
          <w:tcPr>
            <w:tcW w:w="10345" w:type="dxa"/>
            <w:gridSpan w:val="6"/>
            <w:shd w:val="clear" w:color="auto" w:fill="FFFFFF"/>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tblPrEx>
          <w:tblCellMar>
            <w:top w:w="0" w:type="dxa"/>
            <w:bottom w:w="0" w:type="dxa"/>
          </w:tblCellMar>
        </w:tblPrEx>
        <w:trPr>
          <w:trHeight w:val="283"/>
        </w:trPr>
        <w:tc>
          <w:tcPr>
            <w:tcW w:w="10345" w:type="dxa"/>
            <w:gridSpan w:val="6"/>
            <w:shd w:val="clear" w:color="auto" w:fill="FFFFFF"/>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PersonSelvangivelseOpret_O</w:t>
            </w:r>
          </w:p>
        </w:tc>
      </w:tr>
      <w:tr>
        <w:tblPrEx>
          <w:tblCellMar>
            <w:top w:w="0" w:type="dxa"/>
            <w:bottom w:w="0" w:type="dxa"/>
          </w:tblCellMar>
        </w:tblPrEx>
        <w:trPr>
          <w:trHeight w:val="283"/>
        </w:trPr>
        <w:tc>
          <w:tcPr>
            <w:tcW w:w="10345" w:type="dxa"/>
            <w:gridSpan w:val="6"/>
            <w:shd w:val="clear" w:color="auto" w:fill="FFFFFF"/>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FejlIdentifikation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ÅrsopgørelseListe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Årsopgørelse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ÅrsopgørelseData*</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ÅrligSkatteOplysningBeregnetSkat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ÅrligSkatteOplysningForskudSkat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ÅrligSkatteOplysningIndkomstÅr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ÅrligSkatteOplysningKapitalIndkomst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ÅrligSkatteOplysningOverskydendeSkat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ÅrligSkatteOplysningPersonligIndkomst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ÅrligSkatteOplysningRestSkat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ÅrligSkatteOplysningSkattePligtigIndkomst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(PersonligIndkomstStruktur)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(KapitalIndkomstStruktur)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(LigningmæssigFradragStruktur)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(AktierSpecifikationStruktur)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(ØvrigeOplysningerStruktur)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DelårSpecifikation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(DelårSpecifikationBiblioteksAfgift)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tc>
      </w:tr>
      <w:tr>
        <w:tblPrEx>
          <w:tblCellMar>
            <w:top w:w="0" w:type="dxa"/>
            <w:bottom w:w="0" w:type="dxa"/>
          </w:tblCellMar>
        </w:tblPrEx>
        <w:trPr>
          <w:trHeight w:val="283"/>
        </w:trPr>
        <w:tc>
          <w:tcPr>
            <w:tcW w:w="10345" w:type="dxa"/>
            <w:gridSpan w:val="6"/>
            <w:shd w:val="clear" w:color="auto" w:fill="B3B3B3"/>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tblPrEx>
          <w:tblCellMar>
            <w:top w:w="0" w:type="dxa"/>
            <w:bottom w:w="0" w:type="dxa"/>
          </w:tblCellMar>
        </w:tblPrEx>
        <w:trPr>
          <w:trHeight w:val="283"/>
        </w:trPr>
        <w:tc>
          <w:tcPr>
            <w:tcW w:w="10345" w:type="dxa"/>
            <w:gridSpan w:val="6"/>
            <w:shd w:val="clear" w:color="auto" w:fill="FFFFFF"/>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tblPrEx>
          <w:tblCellMar>
            <w:top w:w="0" w:type="dxa"/>
            <w:bottom w:w="0" w:type="dxa"/>
          </w:tblCellMar>
        </w:tblPrEx>
        <w:trPr>
          <w:trHeight w:val="283"/>
        </w:trPr>
        <w:tc>
          <w:tcPr>
            <w:tcW w:w="10345" w:type="dxa"/>
            <w:gridSpan w:val="6"/>
            <w:shd w:val="clear" w:color="auto" w:fill="FFFFFF"/>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og advis returneres som normalt i hovedoplysningerne.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 adviskoder og tilhørende tekster er dokumenteret i særskilt regneark. Servicen kan returnere flere fejl- og advis-koder samtidigt.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FejlIdentifikation i output anvendes så vidt muligt til at udpege, hvilket element i en liste af angivelser, som er fejlbehæftet. Hvis der fx er fejl i en regnskabsangivelse bør altså det fremgå af FejlIdentifikation, hvilket SE-nummer fejlen vedrører. Hvis der der er fejl i flere elementer, udpeges kun den først forekommende.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tblPrEx>
          <w:tblCellMar>
            <w:top w:w="0" w:type="dxa"/>
            <w:bottom w:w="0" w:type="dxa"/>
          </w:tblCellMar>
        </w:tblPrEx>
        <w:trPr>
          <w:trHeight w:hRule="exact" w:val="113"/>
        </w:trPr>
        <w:tc>
          <w:tcPr>
            <w:tcW w:w="10345" w:type="dxa"/>
            <w:shd w:val="clear" w:color="auto" w:fill="B3B3B3"/>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tblPrEx>
          <w:tblCellMar>
            <w:top w:w="0" w:type="dxa"/>
            <w:bottom w:w="0" w:type="dxa"/>
          </w:tblCellMar>
        </w:tblPrEx>
        <w:tc>
          <w:tcPr>
            <w:tcW w:w="10345" w:type="dxa"/>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AktierSpecifikationStruktur</w:t>
            </w:r>
          </w:p>
        </w:tc>
      </w:tr>
      <w:tr>
        <w:tblPrEx>
          <w:tblCellMar>
            <w:top w:w="0" w:type="dxa"/>
            <w:bottom w:w="0" w:type="dxa"/>
          </w:tblCellMar>
        </w:tblPrEx>
        <w:tc>
          <w:tcPr>
            <w:tcW w:w="10345" w:type="dxa"/>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(AktierSpecifikationGevinstTabAktierMarked)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(AktierSpecifikationUdbytteDkAktierEjMarked)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(AktierSpecifikationUdbytteDkAktierMarked)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(AktierSpecifikationUdbytteEjDkAktierEjMarked)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(AktierSpecifikationUdbytteEjDkAktierMarked)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(AktierSpecifikationUdbytteEjUdbytteSkat)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(AktierSpecifikationUdbytteUdenlandskAktierMarked)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(AktierSpecifikationUdbytteUdlodningEjUdbytteSkat)</w:t>
            </w:r>
          </w:p>
        </w:tc>
      </w:tr>
    </w:tbl>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tblPrEx>
          <w:tblCellMar>
            <w:top w:w="0" w:type="dxa"/>
            <w:bottom w:w="0" w:type="dxa"/>
          </w:tblCellMar>
        </w:tblPrEx>
        <w:trPr>
          <w:trHeight w:hRule="exact" w:val="113"/>
        </w:trPr>
        <w:tc>
          <w:tcPr>
            <w:tcW w:w="10345" w:type="dxa"/>
            <w:shd w:val="clear" w:color="auto" w:fill="B3B3B3"/>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tblPrEx>
          <w:tblCellMar>
            <w:top w:w="0" w:type="dxa"/>
            <w:bottom w:w="0" w:type="dxa"/>
          </w:tblCellMar>
        </w:tblPrEx>
        <w:tc>
          <w:tcPr>
            <w:tcW w:w="10345" w:type="dxa"/>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KapitalIndkomstStruktur</w:t>
            </w:r>
          </w:p>
        </w:tc>
      </w:tr>
      <w:tr>
        <w:tblPrEx>
          <w:tblCellMar>
            <w:top w:w="0" w:type="dxa"/>
            <w:bottom w:w="0" w:type="dxa"/>
          </w:tblCellMar>
        </w:tblPrEx>
        <w:tc>
          <w:tcPr>
            <w:tcW w:w="10345" w:type="dxa"/>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(KapitalIndkomstAndenGældSURenteudgift)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(KapitalIndkomstAndenKapitalIndkomst)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(KapitalIndkomstAndenKapitalIndkomstVirksomhed)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(KapitalIndkomstEjendomsAvance)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(KapitalIndkomstGevinstTabAktierBevisInvesteringsSelskab)</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(KapitalIndkomstGevinstTabObligationerEjMarked)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(KapitalIndkomstGevinstTabObligationerMarked)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(KapitalIndkomstGruppeLivsForsikringLegatPersonaleGoder)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(KapitalIndkomstNettoLejeIndtægt)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(KapitalIndkomstOverskudOphørSkibsVirksomhed)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(KapitalIndkomstOverskudSkibsVirksomhed)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(KapitalIndkomstPengeinstitutRenteudgift)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(KapitalIndkomstRealkreditinstitutRenteudgift)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(KapitalIndkomstRenteIndtægt)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(KapitalIndkomstRentekorrektion)</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(KapitalIndkomstReserveFondsUdlodningVærdiStigning)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(KapitalIndkomstStudielånRenteudgift)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(KapitalIndkomstUdbytteUdlodningInvesteringsForening)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(KapitalIndkomstUdlodningInvesteringsForeningVirksomhed)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(KapitalIndkomstVirksomhedRenteudgift)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(KapitalIndkomstKapitalafkastOrdningen)</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(KapitalIndkomstKapitalafkastVirksomhedOrdningen)</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(KapitalIndkomstGevinstTabObligationerInvesteringForening)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(KapitalIndkomstFinansielleKontrakter)</w:t>
            </w:r>
          </w:p>
        </w:tc>
      </w:tr>
    </w:tbl>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tblPrEx>
          <w:tblCellMar>
            <w:top w:w="0" w:type="dxa"/>
            <w:bottom w:w="0" w:type="dxa"/>
          </w:tblCellMar>
        </w:tblPrEx>
        <w:trPr>
          <w:trHeight w:hRule="exact" w:val="113"/>
        </w:trPr>
        <w:tc>
          <w:tcPr>
            <w:tcW w:w="10345" w:type="dxa"/>
            <w:shd w:val="clear" w:color="auto" w:fill="B3B3B3"/>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tblPrEx>
          <w:tblCellMar>
            <w:top w:w="0" w:type="dxa"/>
            <w:bottom w:w="0" w:type="dxa"/>
          </w:tblCellMar>
        </w:tblPrEx>
        <w:tc>
          <w:tcPr>
            <w:tcW w:w="10345" w:type="dxa"/>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LigningmæssigFradragStruktur</w:t>
            </w:r>
          </w:p>
        </w:tc>
      </w:tr>
      <w:tr>
        <w:tblPrEx>
          <w:tblCellMar>
            <w:top w:w="0" w:type="dxa"/>
            <w:bottom w:w="0" w:type="dxa"/>
          </w:tblCellMar>
        </w:tblPrEx>
        <w:tc>
          <w:tcPr>
            <w:tcW w:w="10345" w:type="dxa"/>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(LigningmæssigFradragAkasse)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(LigningmæssigFradragBefordring)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(LigningmæssigFradragBeskæftigelsesFradrag)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(LigningmæssigFradragBørneDagplejereFiskere)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(LigningmæssigFradragFagligtKontingent)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(LigningmæssigFradragGaver)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(LigningmæssigFradragGaverKulturForskning)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(LigningmæssigFradragIndskudEtableringsKonto)</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(LigningmæssigFradragKontingentVirksomhed)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(LigningmæssigFradragLøbendeYdelserForening)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(LigningmæssigFradragRejseUdgifter)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(LigningmæssigFradragUdgifterFrededeBygninger)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(LigningmæssigFradragUdgifterServiceFradrag)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(LigningmæssigFradragUnderholdsBidragBørneBidrag)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(LigningmæssigFradragØvrigeLønmodtagerUdgifter)</w:t>
            </w:r>
          </w:p>
        </w:tc>
      </w:tr>
    </w:tbl>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tblPrEx>
          <w:tblCellMar>
            <w:top w:w="0" w:type="dxa"/>
            <w:bottom w:w="0" w:type="dxa"/>
          </w:tblCellMar>
        </w:tblPrEx>
        <w:trPr>
          <w:trHeight w:hRule="exact" w:val="113"/>
        </w:trPr>
        <w:tc>
          <w:tcPr>
            <w:tcW w:w="10345" w:type="dxa"/>
            <w:shd w:val="clear" w:color="auto" w:fill="B3B3B3"/>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tblPrEx>
          <w:tblCellMar>
            <w:top w:w="0" w:type="dxa"/>
            <w:bottom w:w="0" w:type="dxa"/>
          </w:tblCellMar>
        </w:tblPrEx>
        <w:tc>
          <w:tcPr>
            <w:tcW w:w="10345" w:type="dxa"/>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PersonligIndkomstStruktur</w:t>
            </w:r>
          </w:p>
        </w:tc>
      </w:tr>
      <w:tr>
        <w:tblPrEx>
          <w:tblCellMar>
            <w:top w:w="0" w:type="dxa"/>
            <w:bottom w:w="0" w:type="dxa"/>
          </w:tblCellMar>
        </w:tblPrEx>
        <w:tc>
          <w:tcPr>
            <w:tcW w:w="10345" w:type="dxa"/>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(PersonligIndkomstAndenPersonligIndkomst)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(PersonligIndkomstAndenPersonligIndkomstEfterAM)</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(PersonligIndkomstFradragGæsteStuderendeEfter)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(PersonligIndkomstFradragGæsteStuderendeFør)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(PersonligIndkomstFradragIndbetalingFørPensionsOrdning)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(PersonligIndkomstFradragIndskudIværksætterKonto)</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(PersonligIndkomstFradragMedarbejdendeÆgtefælle)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(PersonligIndkomstHonorar)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(PersonligIndkomstHonorarEfterAM)</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(PersonligIndkomstHædersGaver)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(PersonligIndkomstHævningEtableringsKonto)</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(PersonligIndkomstHævningIværksætterKonto)</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(PersonligIndkomstIndkomstVirksomhedsBeskatning)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(PersonligIndkomstIndkomstVirksomhedsBeskatningEfterAM)</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(PersonligIndkomstJubilæumsGratialeFratrædelsesGodtgørelseEfterAM)</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(PersonligIndkomstKapitalafkastAktierAnparter)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(PersonligIndkomstLønIndkomst)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(PersonligIndkomstLønIndkomstEfterAM)</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(PersonligIndkomstPensionDagpengeStipendie)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(PersonligIndkomstPrivatDagplejeHushjælp)</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(PersonligIndkomstPrivatDagplejeHushjælpEfterAM)</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(PersonligIndkomstPrivatLivsvarigPensionsOrdning)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(PersonligIndkomstRenteIndtægtVirksomhed)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(PersonligIndkomstTilbageBetalingKontantHjælpIntroYdelse)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(PersonligIndkomstUnderholdsbidrag)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(PersonligIndkomstUnderskudVirksomhed)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(PersonligIndkomstØvrigeFradragPersonligIndkomst)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(PersonligIndkomstVirksomhedsBeskatningKonjunktur)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KonjunkturUdligningListe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KonjunkturUdligning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PersonligIndkomstOverførtKonjunkturUdligning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PersonligIndkomstOverførtKonjunkturUdligningProcent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(PersonligIndkomstOverførtKonjunkturUdligningSum)</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OpsparetOverskudListe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OpsparetOverskud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PersonligIndkomstOverførtOpsparetOverskud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PersonligIndkomstOverførtOpsparetOverskudProcent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(PersonligIndkomstOverførtOpsparetOverskudSum)</w:t>
            </w:r>
          </w:p>
        </w:tc>
      </w:tr>
    </w:tbl>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tblPrEx>
          <w:tblCellMar>
            <w:top w:w="0" w:type="dxa"/>
            <w:bottom w:w="0" w:type="dxa"/>
          </w:tblCellMar>
        </w:tblPrEx>
        <w:trPr>
          <w:trHeight w:hRule="exact" w:val="113"/>
        </w:trPr>
        <w:tc>
          <w:tcPr>
            <w:tcW w:w="10345" w:type="dxa"/>
            <w:shd w:val="clear" w:color="auto" w:fill="B3B3B3"/>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tblPrEx>
          <w:tblCellMar>
            <w:top w:w="0" w:type="dxa"/>
            <w:bottom w:w="0" w:type="dxa"/>
          </w:tblCellMar>
        </w:tblPrEx>
        <w:tc>
          <w:tcPr>
            <w:tcW w:w="10345" w:type="dxa"/>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ØvrigeOplysningerStruktur</w:t>
            </w:r>
          </w:p>
        </w:tc>
      </w:tr>
      <w:tr>
        <w:tblPrEx>
          <w:tblCellMar>
            <w:top w:w="0" w:type="dxa"/>
            <w:bottom w:w="0" w:type="dxa"/>
          </w:tblCellMar>
        </w:tblPrEx>
        <w:tc>
          <w:tcPr>
            <w:tcW w:w="10345" w:type="dxa"/>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(ØvrigeOplysningerBeregningsGrundlagAcontoSkat)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(ØvrigeOplysningerBeregningsGrundlagAcontoSkatSuccession)</w:t>
            </w:r>
          </w:p>
        </w:tc>
      </w:tr>
    </w:tbl>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headerReference w:type="default" r:id="rId13"/>
          <w:footerReference w:type="default" r:id="rId14"/>
          <w:pgSz w:w="11906" w:h="16838"/>
          <w:pgMar w:top="567" w:right="567" w:bottom="567" w:left="1134" w:header="283" w:footer="708" w:gutter="0"/>
          <w:cols w:space="708"/>
          <w:docGrid w:linePitch="360"/>
        </w:sect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tblPrEx>
          <w:tblCellMar>
            <w:top w:w="0" w:type="dxa"/>
            <w:bottom w:w="0" w:type="dxa"/>
          </w:tblCellMar>
        </w:tblPrEx>
        <w:trPr>
          <w:tblHeader/>
        </w:trPr>
        <w:tc>
          <w:tcPr>
            <w:tcW w:w="3402" w:type="dxa"/>
            <w:shd w:val="clear" w:color="auto" w:fill="B3B3B3"/>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AktierSpecifikationGevinstTabAktierMarked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optaget til handel på et reguleret marked, samt investeringsforeningsbeviser i aktieinvesterende og/eller akkumulerende investeringsforeninger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AktierSpecifikationUdbytteDkAktierEjMarked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og udlodning fra visse investeringsforeninger, ikke medtaget i rubrik 64.</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65 Felt: 316</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AktierSpecifikationUdbytteDkAktierMarked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Udbytte fra danske aktier optaget til handel på et reguleret marked, der er i dansk depot.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Udlodning/udlodningsandele, der er aktieindkomst fra danske minimumsudloddende og akkumulerende investeringsforeninger, der ikke er investeringsselskaber.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61 Felt: 501</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AktierSpecifikationUdbytteEjDkAktierEjMarked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rubrik 62 udgør udbytte fra danske aktier, der er optaget til handel på et reguleret marked og udlodning/udlodningsandele, der er aktieindkomst fra danske investeringsforeninger. Udbytte/udlodning med videre skal kun skrives i rubrik 62, når det ikke er medtaget i rubrik 61.</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omsættelige investeringsforeningsbeviser anses for optaget til handel på et reguleret marked. Det gælder, uanset hvornår de er anskaffet.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af danske aktier optaget til handel på et reguleret marked, der ikke er i dansk depot.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Udlodning/udlodningsandele, der er aktieindkomst fra danske minimumsudloddende og akkumulerende, omsættelige investeringsforeninger, der ikke er investeringsselskaber, og ikke er i dansk depot.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Udbytter fra danske aktier optaget til handel på et reguleret marked og ovenstående typer af investeringsforeninger, når investeringsforeningsbeviset er omsætteligt, hvor der er flere end to ejere.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Rubrik: 62 Felt: 505 </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AktierSpecifikationUdbytteEjDkAktierMarked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indberettet til 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64 Felt: 310</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AktierSpecifikationUdbytteEjUdbytteSkat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ikke optaget til handel på et reguleret marked, samt udbytte, der ikke er indeholdt udbytteskat i</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AktierSpecifikationUdbytteUdenlandskAktierMarked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udenlandske aktier optaget til handel på et reguleret marked i dansk depot, indberettet til SKAT. Udbytter af aktier i visse lande fx Frankrig, Grønland, Kenya og Spanien skal i rubrik 452 på selvangivelse for udenlandsk indkomst.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63 Felt: 509</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AktierSpecifikationUdbytteUdlodningEjUdbytteSkat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og udlodning af aktier/investeringsbeviser, optaget til handel på et reguleret marked.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68 Felt: 624</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BlanketFeltNummer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BlanketFeltNummer angiver nummeret på et felt på en blanket. Der er tale om et ’dumt’ nummer, som fastsættes vilkårligt. Det er ikke muligt at forudsætte at numrene kommer i rækkefølge.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 kan anvendes på tværs af blanketter - eksempelvis et felt, som indeholder SE-nummer, kan genbruges i mange blanketter. Til et BlanketFeltNummer er der endvidere knyttet en FeltEnhedTypeKode, jf. begrebsmodellen. FeltEnhedTypeKode fortæller, hvad et BlanketFeltNummer ’står for’.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DelårSpecifikationBiblioteksAfgift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ydelser efter lov om biblioteksafgift (beløbet skal tillige være indeholdt i rubrik 111/112).</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133 Felt: 331</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EjendomAngivelseDelvisUdlejningsandel</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den udlejede del af boligen i procent.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737</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EjendomAngivelseDelvisUdlejningsdage</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en del af boligen (værelsesudlejning) i antal dage.</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EjendomAngivelseEjendomstype</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Ejendomstype. Muligheder: 1) Helårsbolig eller sommerhus med tilladelse til helårsbeboelse, 3) Sommerhus, 4) Tofamilieshus med to ejerboligværdier, 5) Tofamilieshus med en ejerboligværdi, 7) Ejerlejlighed - helårsbeboelse, 8) Ejerlejlighed - fritidsbolig, 9) Øvrige ejendomme.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705</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EjendomAngivelseErhvervetFør1998</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ejendommet erhvervet før 2/7 1998 (true=ja).</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712</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EjendomAngivelseErhvervsanvendelsesandel</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delvis erhvervsmæssig anvendelse anføres værdien af den erhvervsmæssige del i procent.</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EjendomAngivelseErhvervsanvendelsesdage</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med erhvervsmæssig anvendelse.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746</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EjendomAngivelseErhvervsudlejningsdage</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Flerårig erhvervsmæssig udlejning (antal dage).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747</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EjendomAngivelseHelUdlejningsdage</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minExclusive: 0</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Udleje af hele helårsboligen en del af året og sommerhusudlejning i antal dage.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739</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EjendomAngivelseIndflytningEfterIndkomstår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flyttet ind efter indkomståret (true=ja).</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772</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EjendomAngivelseIndflytningsdato</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Indflytningsdato i indkomståret, hvis indflytningsdagen ligger efter orvertagelsesdagen (kun helårsbolig)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766</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EjendomAngivelseKøberOvertagelsesdato</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Købers overtagelsesdato i indkomståret.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733</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EjendomAngivelseOvertagelsesdato</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køb: Angivers overtagelsesdato i indkomståret.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732</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EjendomAngivelseUbeboeligdage</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ejendommen har været ubeboelig.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786</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EjendomAngivelseUdflytningsdato</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Udflyningsdato i indkomståret, hvis udflytningsdagen ligger før købers overtagelsesdag (kun helårsbolig).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767</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EjendomsavanceAngivelseGenanbringelsePlacering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Placering af genanbragt ejendomsavance (ejendom i eller udenfor Danmark)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650</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KapitalIndkomstAndenGældSURenteudgift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 af statsgaranterede studielån i et pengeinstitut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pantebreve, der ikke er i depot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øvrig gæld til private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stiftelsesprovisioner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Andre renteudgifter, som giver ret til fradrag, og som SKAT ikke automatisk får oplyst </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KapitalIndkomstAndenKapitalIndkomst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gevinst og tab ved salg af pantebreve og fordringer, der ikke er obligationer, hvis de er købt 27. januar 2010 eller senere, gevinst ved salg af pantebreve og fordringer i danske kroner, der ikke er obligationer, hvis de er købt før 27. januar 2010 og ikke opfyldte mindsterentekravet på udstedelsestidspunktet, gevinst og tab på fordringer og gæld i udenlandsk valuta, nettorenteindtægt af pantebreve, hvis de både er købt og solgt igen i 2011, renteindtægter af pantebreve, der ikke er i depot, fratrukket et evt. vederlag for renter betalt ved køb af pantebrevene i 2011, gevinst ved ekstraordinær indfrielse af kontantlån og nettofortjeneste (positivt resultat efter fradrag af tab i 2011 og fremført tab fra tidligere år) af gevinst på finansielle kontrakter og strukturerede obligationer og fortjeneste ved salg af fast ejendom eller afkast på livsforsikringer og lignende.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39 Felt: 214</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KapitalIndkomstAndenKapitalIndkomstVirksomhed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anden kapitalindkomst i virksomhed, fx kursgevinster og tab på finansielle kontrakter, oligationer og andre fordringer, investeringsselskaber, samt lagerforskydninger og udenlandske fordringer/gæld og valuta.</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116 Felt: 213</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KapitalIndkomstEjendomsAvance</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udgøtr ejendomsavance.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Beløbet skal omfatte avance fra salg af </w:t>
            </w:r>
            <w:r>
              <w:rPr>
                <w:rFonts w:ascii="Arial" w:hAnsi="Arial" w:cs="Arial"/>
                <w:sz w:val="18"/>
              </w:rPr>
              <w:lastRenderedPageBreak/>
              <w:t>erhvervsejendomme (ejendomsavance).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308 Felt: 308</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KapitalIndkomstFinansielleKontrakter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 vedr. finansielle kontrakter.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346 Felt: 346</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KapitalIndkomstGevinstTabAktierBevisInvesteringsSelskab</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Realiserede og urealiserede gevinster og tab på aktier og investeringsforeningsbeviser, der er udstedt af et investeringsselskab.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38 Felt: 239</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KapitalIndkomstGevinstTabObligationerEjMarked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den 27. januar 2010 eller senere.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obligationer i fremmed valuta.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om en rente på 2,5 procent på udstedelsestidspunktet. Du kan ikke trække tab fra.</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visse strukturerede obligationer i danske kroner, som ikke beskattes som finansielle kontrakter. Dog kan du ikke trække tab fra, hvis du har købt obligationerne før den 27. januar 2010.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40 Felt: 328</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KapitalIndkomstGevinstTabObligationerInvesteringForening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-Gevinster og tab på investeringsbeviser i minimumsudloddende obligationsbaserede investeringsforeninger.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246</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KapitalIndkomstGevinstTabObligationerMarked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efter den 26. januar 2010. Har du købt dem den 1. januar 2011 eller senere, kan du kun trække tab fra, hvis SKAT har fået oplysninger om købet.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fremmed valuta. Har du købt dem den 1. januar 2011 eller senere, kan du kun trække tab fra, hvis SKAT har fået oplysninger om købet.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på udstedelsestidspunktet. Du kan ikke trække tab fra.</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visse tab på visse strukturerede obligationer i danske kroner, der ikke beskattes som finansielle kontrakter. Du kan ikke trække tab fra, hvis du har købt obligationerne før den 27. januar 2010.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327</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KapitalIndkomstGruppeLivsForsikringLe</w:t>
            </w:r>
            <w:r>
              <w:rPr>
                <w:rFonts w:ascii="Arial" w:hAnsi="Arial" w:cs="Arial"/>
                <w:sz w:val="18"/>
              </w:rPr>
              <w:lastRenderedPageBreak/>
              <w:t>gatPersonaleGoder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skattepligtige uddelinger fra foreninger </w:t>
            </w:r>
            <w:r>
              <w:rPr>
                <w:rFonts w:ascii="Arial" w:hAnsi="Arial" w:cs="Arial"/>
                <w:sz w:val="18"/>
              </w:rPr>
              <w:lastRenderedPageBreak/>
              <w:t xml:space="preserve">og fonde, præmier til gruppelivsforsikring betalt af pensionsselskaber eller lignende, værdien af fri helårsbolig, værdien af fri lystbåd, værdien af fri medielicens, værdien af fri sommerbolig i Danmark, tilbagebetalte præmier til forsikringer, hvor tilbagebetalingen skyldes præmiefritagelse og værdien af personalelån.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17 Felt: 229</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KapitalIndkomstKapitalafkastOrdningen</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kapitalafkastordningen.</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142 Felt: 440</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KapitalIndkomstKapitalafkastVirksomhedOrdningen</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virksomhedsordningen.</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148 Felt: 432</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KapitalIndkomstNettoLejeIndtægt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KapitalIndkomstOverskudOphørSkibsVirksomhed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bestå af:</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anparter eller ophør eller afståelse af anpartsvirksomheden, hvis virksomheden er omfattet af anpartsreglerne på det tidspunkt, hvor fortjenesten bliver konstateret.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Tab ved ophør af skibsvirksomheden, når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--virksomheden var et bierhverv for dig, og du har købt anparterne før 12. maj 1989.</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--Skibet var godkendt af Økonomi- og Erhvervsministeriet (godkendt skibsprojekt).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36 Felt: 254</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KapitalIndkomstOverskudSkibsVirksomhed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over- eller underskud ved skibsanparter i et godkendt skibsprojekt (underskud angives med minus), over- eller underskud ved skibsanparter anskaffet før 12. maj 1989 (underskud angives med minus) og overskud ved anparter der er anskaffet 12. maj 1989 eller senere og overskud ved anden anpartsvirksomhed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35 Felt: 217</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KapitalIndkomstPengeinstitutRenteudgift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KapitalIndkomstRealkreditinstitutRenteudgift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KapitalIndkomstRenteIndtægt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KapitalIndkomstRentekorrektion</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rentekorrektion. Beløbet skal omfatte: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Summen af de beregnede rentekorrektioner.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150 Felt: 280</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KapitalIndkomstReserveFondsUdlodningVærdiStigning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Reservefondsudlodninger fra danske realkreditinstitutter.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Kapitalværdistigninger af danske kapitalforsikringer, hvor forsikringsbegivenheden (dødsfald, opnået alder eller lignende) er indtrådt, men udbetalingen sker ratevis eller er udskudt.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du indfrier gamle lån ved at få udbetalt reservefondsandele: 2/3 af det beløb, udlodningen overstiger det oprindelige indskud med. Det gælder, uanset om du får udlodningen udbetalt kontant, eller om du anvender beløbet helt eller delvis som indskud til reservefond i et nyt lån.</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du får en reservefondsudlodning ved ekstraordinært at afskrive på restgælden, uden at det har forbindelse med indfrielsen af lånet: 2/3 af det beløb, du får udloddet fra reservefonden.</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Felt: 249</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KapitalIndkomstStudielånRenteudgift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renteudgifter af studielån fra Økonomistyrelsen</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 Felt: 489</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KapitalIndkomstUdbytteUdlodningInvesteringsForening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Udlodningsandele, der er kapitalindkomst, hvor der er trukket udbytteskat, fra:</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blandet investerende investeringsforeninger (fx aktier og obligationer).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aktiebaserede investeringsforeninger.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investeringsforeninger, hvor hele udlodningen er kapitalindkomst.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Felt: 247</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KapitalIndkomstUdlodningInvesteringsForeningVirksomhed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udlodning i virksomhed fra aktier eller investeringsbeviser udstedt af et investeringsselskab.</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Er der modtaget udlodninger fra fra investeringsforening eller selskab, hvor der er trukket dansk udbytteskat, skal det tastes her. Udlodningen skal vedrøre virksomheden.</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246</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KapitalIndkomstVirksomhedRenteudgift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renteudgifter og virksomhedens fradragsberettigede kurstab.</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117 Felt: 488</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LigningmæssigFradragAkasse</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efterløns- og fleksydelsesordningen</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LigningmæssigFradragBefordring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LigningmæssigFradragBeskæftigelsesFradrag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maskinelt beregnede besæftigelsesfradrag.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Felt: 400</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LigningmæssigFradragBørneDagplejereFiskere</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indgår: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pc-ordning med fradrag (højst 3.500 kr.)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Børnedagplejeres udgifter med fradrag, beregnet som en fast procentdel af lønnen (hvis du vælger fradrag for faktiske udgifter, skal beløbet i stedet med i rubrik 58). •Fradrag vedrørende DIS-indkomst (begrænset fart)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fredede ejendomme med fradrag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Handicappede og kronisk syges udgifter til befordring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i forbindelse med hverv som nævning, domsmand eller lignende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Fiskeres fradrag for havdage.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54 Felt: 419</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LigningmæssigFradragFagligtKontingent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50 Felt: 458</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LigningmæssigFradragGaver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omfatter beløb, som SKAT har modtaget oplysning om fra almennyttige foreninger, stiftelser og institutioner, der er godkendte til at modtage gaver med fradragsret for giveren.</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55 Felt: 412</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LigningmæssigFradragGaverKulturForskning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de gaver, som kultur- og forskningsinstitutioner har indberettet.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447 Felt: 447</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LigningmæssigFradragIndskudEtableringsKonto</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indskudt på en etableringskonto i perioden fra 16. maj 2011 til og med 15. maj 2012 (minimum 5.000 kr).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57 Felt: 472</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LigningmæssigFradragKontingentVirksomhed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betalt kontingent til arbejdsgiverforening, betalt kontingent til fagforening, hvor medlemskabet er i egenskab af, at man driver virksomhed og værdien af gaver givet til godkendte kulturinstitutioner.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118 Felt: 438</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LigningmæssigFradragLøbendeYdelserForening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 løbende ydelser til godkendte foreninger, som SKAT har fået oplyst.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448 Felt: 448</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LigningmæssigFradragRejseUdgifter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 udgifter til logi, kost og småfornødenheder, som ikke er dækket af skattefri rejsegodtgørelse.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53 Felt: 429</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LigningmæssigFradragUdgifterFrededeBygninger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fradrag for istandsættelsesudgifter til fredede ejerlejligheder, hvis ejer selv bor i boligen.</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59 Felt: 456</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LigningmæssigFradragUdgifterServiceFradrag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 udgifter til arbejdsløn for service og vedligeholdelse på op til 15.000 kr. i alt (inkl. eventuel moms).</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460 Felt: 460</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LigningmæssigFradragUnderholdsBidragBørneBidrag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indeholde dine fradragsberettigede udgifter til: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Børnebidrag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Underholdsbidrag (til tidligere ægtefælle)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Aftægtsforpligtelse og underholdsydelser.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56 Felt: 411</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LigningmæssigFradragØvrigeLønmodtagerUdgifter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PersonSelvangivelseBeskatningsordning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valgt beskatningsordning, som fx kan være beskatning efter kapitalafkastordningen (kaldes også for virksomhedskode).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184.</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PersonSelvangivelseEjendomsoplysningAccept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enig i at ejendomsoplysningerne er korrekte (true=ja).</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129</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PersonSelvangivelseEjendomsoplysningSupplement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uenig i at ejendomsoplysningerne er korrekt og derfor indsender korrigerede oplysninger om ejendomsværdiskat (true=ja).</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130</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PersonSelvangivelseFradragHelårsomregning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skattepligt til Danmark i en kortere periode end et år kan der vælges om der ønskes personfradrag kombineret med helårsomregning af delårsindkomst (True=Ja).</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722</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PersonSelvangivelseHenstandsbegæring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der er indsendt begæring om henstand med betaling af skat og AM-bidrag af fortjeneste ved overdragelse af goodwill mv. mod vederlag som løbende ydelse (true=ja).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155</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PersonSelvangivelseIndkomstÅr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indkomstår som selvangivelsen vedrører.</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PersonSelvangivelseRevisorindberetning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der ønskes skift fra S10 til S13, hvilket indebærer selvangivelsespligt. True=Skift, False/udeladt=ingen ændring.</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PersonSelvangivelseVirksomhedOphør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angiver er ophørt med selvstændig virksomhed (true=ophørt).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131</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PersonSelvangivelseVirksomhedOphørTidligere</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har en ikke-erhvervsmæssig virksomhed eller virksomheden er ophørt før indkomståret. Bemærk at der på papirblanketten i stedet skal angives ophørsår.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134</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 rubrikken skal oplyses lønindkomster, der ikke indgår i andre rubrikker. Skriv det samlede beløb uden at trække arbejdsmarkedsbidrag fra.</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blandt andet omfatte: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fri sommerbolig i udlandet (værdien af fri sommerbolig i Danmark indgår i rubrik 17).</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kost og logi.</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Mindre personalegoder (med en værdi på under 1.000 kroner hver), hvis de har en samlet værdi på over 1.000 kr.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Ferierejser betalt af din arbejdsgiver (gælder også ferierejser, der kombineres med en forretningsrejse).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Legater.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Lejeindtægt, hvis du fremlejer din lejebolig.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Skattepligtige gevinster ved spil og væddemål.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Skattepligtige offentlige tilskud.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Indtægt fra vedvarende energianlæg, herunder vindmøller.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ædle metaller mv.</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Genvundne afskrivninger ved salg af bygninger på lejet grund eller ejendom med hjemfaldspligt og lignende.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Fortjeneste ved salg af aktiver, hvorpå der er foretaget skattemæssige afskrivninger.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20 Felt: 250</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PersonligIndkomstAndenPersonligIndkomstEfterAM</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som er beregnet værdi af PersonligIndkomstAndenPersonligIndkomst efter AM bidrag. </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PersonligIndkomstFradragGæsteStuderendeEfter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gæstestuderendes indkomst på op til 42.900 kr. fra arbejde i Danmark, hvis personen er begyndt at studere i Danmark i 2011. Beløbet skal i nogle situationer reduceres (læs om reglerne i vejledningen Fritagelse for beskatning for gæstestuderende).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437 Felt: 437</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PersonligIndkomstFradragGæsteStuderendeFør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på op til 71.000 kr., hvis personen er begyndt at studere i Danmark før 1.1. 2011. Beløbet skal i nogle situationer reduceres (læs om reglerne i vejledningen Fritagelse for beskatning for gæstestuderende).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må ikke være større end den personlige indkomst, herunder lønindkomsten i rubrik 10. Fradraget gives forholdsmæssigt for den del af året man er gæstestuderende her i landet.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491 Felt: 491</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PersonligIndkomstFradragIndbetalingFørPensionsOrdning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del af indbetalingen fra før 1, januar 2010, som du ifølge overgangsreglerne har fradragsret for i 2011.</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25 Felt: 444</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PersonligIndkomstFradragIndskudIværksætterKonto</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samlede indskud på din særlige iværksætterkonto.</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27 Felt: 426</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PersonligIndkomstFradragMedarbejdendeÆgtefælle</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del af virksomhedsoverskuddet, der skal overføres til beskatning hos medarbejdende ægtefælle.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113 Felt: 473</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honorarer udbetalt fra Danmark som B-indkomst,  indkomst ved privat hushjælp (herunder ydelser, hvor køberen får servicefradrag),  værdien af medarbejderaktier og anparter samt tegnings- og køberetter til aktier og anparter modtaget som løn i et ansættelsesforhold eller af bestyrelsesmedlemmer, værdien af fri helårsbolig, fri sommerbolig og fri lystbåd til direktører, hovedaktionærer og andre med væsentlig indflydelse på egen aflønningsform og værdien af fri bil, fri helårsbolig, fri sommerbolig og fri lystbåd som udbytte til hovedaktionærer, der ikke er ansat i selskabet.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12 Felt: 210</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PersonligIndkomstHonorarEfterAM</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som er beregnet værdi af PersonligIndkomstHonorar efter AM bidrag. </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PersonligIndkomstHædersGaver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Hædersgaver, det vil sige priser, gaver og legater givet som anerkendelse af dine fortjenester (engangsbeløb).</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18 Felt: 256</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PersonligIndkomstHævningEtableringsKonto</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etableringskontomidler til køb af aktier mv.</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137 Felt: 215</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PersonligIndkomstHævningIværksætterKonto</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iværksætterkontomidler til køb af aktier mv.</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134 Felt: 235</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PersonligIndkomstIndkomstVirksomhedsBeskatning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beskatning efter reglerne i virksomhedsordningen (årets opsparede overskud tillagt virksomhedsskat)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Årets opsparede beløb tillagt virksomhedsskat.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149 Felt: 434</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PersonligIndkomstIndkomstVirksomhedsBeskatningEfterAM</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er beregnet værdi af PersonligIndkomstIndkomstVirksomhedsBeskatning efter AM bidrag.</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PersonligIndkomstJubilæumsGratialeFratrædelsesGodtgørelse</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Jubilæumsgratialer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Fratrædelsesgodtgørelse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Kontante gaver fra din arbejdsgiver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Værdien af tingsgaver fra din arbejdsgiver.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 Felt: 243</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PersonligIndkomstJubilæumsGratialeFratrædelsesGodtgørelseEfterAM</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som er beregnet værdi af PersonligIndkomstJubilæumsGratialeFratrædelsesGodtgørelse efter AM bidrag. </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PersonligIndkomstKapitalafkastAktierAnparter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af aktier og anparter ved erhvervelse af virksomhed.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162 Felt: 835</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PersonligIndkomstLønIndkomst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PersonligIndkomstLønIndkomstEfterAM</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som er beregnet værdi af PersonligIndkomstLønIndkomst efter AM bidrag. </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konjunkturudligning tillagt konkunkturudligningsskat. Beløbet skal omfatte det hævede beløb inklusiv den foreløbige betalte 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144 Felt: 230</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PersonligIndkomstOverførtKonjunkturUdligningProcent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konjunkturudligning tillagt konkunkturudligningsskat med: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(Gældenden for indkomstårene 1993-1998). Beløbet skal omfatte det hævede beløb inklusiv den foreløbige betalte 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32% (Gældenden for indkomstårene 1999-2000). Beløbet skal omfatte det hævede beløb inklusiv den foreløbige betalte 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(Gældenden for indkomstårene 2001-2004). Beløbet skal omfatte det hævede beløb inklusiv den foreløbige betalte 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28% (Gældenden for indkomstårene 2005-2006). Beløbet skal omfatte det hævede beløb inklusiv den </w:t>
            </w:r>
            <w:r>
              <w:rPr>
                <w:rFonts w:ascii="Arial" w:hAnsi="Arial" w:cs="Arial"/>
                <w:sz w:val="18"/>
              </w:rPr>
              <w:lastRenderedPageBreak/>
              <w:t>foreløbige betalte 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25% (Gældenden for indkomstårene 2007 og fremover). Beløbet skal omfatte det hævede beløb inklusiv den foreløbige betalte skat.</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PersonligIndkomstOverførtKonjunkturUdligningSum</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konjunkturudligning tillagt konkunkturudligningsskat. Beløbet skal omfatte det hævede beløb inklusiv den foreløbige betalte skat.</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som du ønsker overført tillagt virksomhedsskatten.</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151 Felt: 275</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PersonligIndkomstOverførtOpsparetOverskudProcent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opsparet overskud tillagt virksomhedsskat med: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- 50% (Gældende for indkomstårene 1987-1990). Beløbet skal omfatte det hævede beløb inklusiv den foreløbige betalte 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- 38% (Gældende for indkomståret 1991). Beløbet skal omfatte det hævede beløb inklusiv den foreløbige betalte 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 for indkomstårene 1992-1998). Beløbet skal omfatte det hævede beløb inklusiv den foreløbige betalte 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- 32% (Gældende for indkomstårene 1999-2000). Beløbet skal omfatte det hævede beløb inklusiv den foreløbige betalte 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 for indkomstårene 2001-2004). Beløbet skal omfatte det hævede beløb inklusiv den foreløbige betalte 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- 25% (Gældende for indkomstårene 2007 og fremover). Beløbet skal omfatte det hævede beløb inklusiv den foreløbige betalte skat.</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PersonligIndkomstOverførtOpsparetOverskudSum</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opsparet overskud tillagt virksomhedsskat. Beløbet skal omfatte det hævede beløb inklusiv den foreløbige betalte skat.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PersonligIndkomstPensionDagpengeStipendie</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PersonligIndkomstPrivatDagplejeHushjælpEfterAM</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som er beregnet værdi af PersonligIndkomstPrivatDagplejeHushjælp efter AM bidrag. </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PersonligIndkomstPrivatLivsvarigPensionsOrdning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pensionsordninger med løbende udbetaling, der ikke er ophørende livrenter, når det indbetalte beløb er under 46.000 kroner.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indeksordninger.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Sportsudøveres indbetalinger på særlige, private ratepensionsordninger.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Indbetalinger til pensionsordninger med løbede </w:t>
            </w:r>
            <w:r>
              <w:rPr>
                <w:rFonts w:ascii="Arial" w:hAnsi="Arial" w:cs="Arial"/>
                <w:sz w:val="18"/>
              </w:rPr>
              <w:lastRenderedPageBreak/>
              <w:t>udbetaling, der ikke er ophørende livrenter, hvis dine samlede indbetalinger i 2011 overstiger 46.000 kroner.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Fradragsfordelingsbeløb, der vedrører indbetalinger i tidligere indkomstår til pensionsordninger med løbende udbetalinger, der ikke er ophørende livrenter.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virksomhed, der er indbetalt på en ratepension eller en pensionsordning med løbende udbetaling (ophørspension), dog højst 2.507.900 kr.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privattegnede pensionsordninger med løbende udbetaling, hvis du som selvstændig erhvervsdrivende har valgt at bruge den særlige mulighed, hvor du kan få fradrag for indskud på op til 30 procent af virksomhedens overskud. Det gælder både, når du anvender overgangsreglen for indskud på ratepensioner og ophørende livrenter, og når du anvender reglen ved indskud på pensionsordninger med løbende udbetaling, der ikke er ophørende livrenter.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24 Felt: 436</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PersonligIndkomstRenteIndtægtVirksomhed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renteindtægter og virksomhedens skattepligtige kursgevinster.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114 Felt: 237</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PersonligIndkomstTilbageBetalingKontantHjælpIntroYdelse</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Kontanthjælp, der er udbetalt fra og med 1994 til og med 2010 og tilbagebetalt i 2011.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Introduktionsydelse, der er udbetalt i 2010 eller tidligere og tilbagebetalt i 2011.</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 Felt: 477</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PersonligIndkomstUnderholdsbidrag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PersonligIndkomstUnderskudVirksomhed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underskud af selvstændig virksomhed før renter og før overførsel fra konto for opsparet overskud.</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112 Felt: 435</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PersonligIndkomstVirksomhedsBeskatningKonjunktur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konjunkturudligning.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til 25 % af positiv personlig indkomst fra virksomheden. Beløbet skal udgøre mindst 5.000 kr.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143 Felt: 445</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PersonligIndkomstØvrigeFradragPersonligIndkomst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fradragsberettigede udgifter til erhvervsmæssig befordring, som er omtalt i vejledningen Få godtgørelse eller fradrag for din erhvervsmæssige kørsel. </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29 Felt: 425</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RegnskabAngivelseGældseftergivelse</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gældseftergivelse eller akkord (true=ja).</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697</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RegnskabAngivelseOplysningsfritagelse</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virksomheden er fritaget for at give regnskabsoplysninger (true=fritaget).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603</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RegnskabAngivelseOplysningsfritagelseÅrsag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Årsag til at virksomheden er fritaget for at give regnskabsoplysninger. Kan være: 1) virksomhedstype, </w:t>
            </w:r>
            <w:r>
              <w:rPr>
                <w:rFonts w:ascii="Arial" w:hAnsi="Arial" w:cs="Arial"/>
                <w:sz w:val="18"/>
              </w:rPr>
              <w:lastRenderedPageBreak/>
              <w:t>2) nettoomsætning maksimum, 2) nettoomsætning minimum.</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RegnskabAngivelsePrivateAndeleArt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Private andele i opgørelsen af den skattepligtige indkomst. Muligheder: 1) biludgifter, 2) fri bil i virksomhedsordningen, 3) eget vareforbrug, 4) andet.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Suppleres med beløb i felt 676.</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676</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RegnskabAngivelseRevisorbistand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regnskab udarbejdet med bistand fra revisor (true=ja).</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RegnskabAngivelseRevisorbistandArt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Revisorbistand art. Muligheder: 1) revision, 2) gennemgang,  3) assisance med regnskabsopstilling, 4) andet.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608</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RegnskabAngivelseRevisorerklæring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revisorerklæring. Muligheder: 1) forbehold, 2) supplerende oplysninger, 3) uden forbehold og supplerende oplysninger.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RegnskabAngivelseRevisorforbehold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Hvad forbeholdet eller supplerende oplysninger fra revisor vedrører. Muligheder: 1) overholdelse af skatte- og afgiftslovgivning, 2) overholdelse af regnskabslovgivningen, 3) andet.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SelvangivelseFeltIndholdBeløb</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i et beløbsfelt på selvangivelsen.</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UdenlandskEjendomBeskatningKode</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angiver en særregel for beskatning af en udenlandsk ejendom. Disse særregeler vil typisk knytte sig til en dobbeltbeskatningsaftaler. Koden anvendes ikke for danske ejendomme.</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ingen/blank</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Fransk ejendom købt til og med 29.11.07</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Fransk ejendom købt efter 29.11.07</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ÅrligSkatteOplysningForskudSkat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summen af det samlede ligningsmæssige fradrag</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ÅrligSkatteOplysningOverskydendeSkat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ØvrigeOplysningerBeregningsGrundlagAcontoSkat</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beregningsgrundlag for acontoskat efter afskrivningslovens § 40 C.</w:t>
            </w:r>
          </w:p>
        </w:tc>
      </w:tr>
      <w:tr>
        <w:tblPrEx>
          <w:tblCellMar>
            <w:top w:w="0" w:type="dxa"/>
            <w:bottom w:w="0" w:type="dxa"/>
          </w:tblCellMar>
        </w:tblPrEx>
        <w:tc>
          <w:tcPr>
            <w:tcW w:w="3402"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ØvrigeOplysningerBeregningsGrundlagAcontoSkatSuccession</w:t>
            </w:r>
          </w:p>
        </w:tc>
        <w:tc>
          <w:tcPr>
            <w:tcW w:w="170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beregningsgrundlag for acontoskat efter afskrivningslovens § 40 C, succession.</w:t>
            </w:r>
          </w:p>
        </w:tc>
      </w:tr>
    </w:tbl>
    <w:p>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headerReference w:type="default" r:id="rId15"/>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Sidefod"/>
      <w:rPr>
        <w:rFonts w:ascii="Arial" w:hAnsi="Arial" w:cs="Arial"/>
        <w:sz w:val="16"/>
      </w:rPr>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februar 2013</w:t>
    </w:r>
    <w:r>
      <w:rPr>
        <w:rFonts w:ascii="Arial" w:hAnsi="Arial" w:cs="Arial"/>
        <w:sz w:val="16"/>
      </w:rPr>
      <w:fldChar w:fldCharType="end"/>
    </w:r>
    <w:r>
      <w:rPr>
        <w:rFonts w:ascii="Arial" w:hAnsi="Arial" w:cs="Arial"/>
        <w:sz w:val="16"/>
      </w:rPr>
      <w:tab/>
    </w:r>
    <w:r>
      <w:rPr>
        <w:rFonts w:ascii="Arial" w:hAnsi="Arial" w:cs="Arial"/>
        <w:sz w:val="16"/>
      </w:rPr>
      <w:tab/>
      <w:t xml:space="preserve">PersonSelvangivelseOpret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21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Sidefo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februar 2013</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Sidehoved"/>
      <w:jc w:val="center"/>
      <w:rPr>
        <w:rFonts w:ascii="Arial" w:hAnsi="Arial" w:cs="Arial"/>
      </w:rPr>
    </w:pPr>
    <w:r>
      <w:rPr>
        <w:rFonts w:ascii="Arial" w:hAnsi="Arial" w:cs="Arial"/>
      </w:rPr>
      <w:t>Servicebeskrivelse</w:t>
    </w:r>
  </w:p>
  <w:p>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Sidehoved"/>
      <w:jc w:val="center"/>
      <w:rPr>
        <w:rFonts w:ascii="Arial" w:hAnsi="Arial" w:cs="Arial"/>
      </w:rPr>
    </w:pPr>
    <w:r>
      <w:rPr>
        <w:rFonts w:ascii="Arial" w:hAnsi="Arial" w:cs="Arial"/>
      </w:rPr>
      <w:t>Datastrukturer</w:t>
    </w:r>
  </w:p>
  <w:p>
    <w:pPr>
      <w:pStyle w:val="Sidehoved"/>
      <w:jc w:val="center"/>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Sidehoved"/>
      <w:jc w:val="center"/>
      <w:rPr>
        <w:rFonts w:ascii="Arial" w:hAnsi="Arial" w:cs="Arial"/>
      </w:rPr>
    </w:pPr>
    <w:r>
      <w:rPr>
        <w:rFonts w:ascii="Arial" w:hAnsi="Arial" w:cs="Arial"/>
      </w:rPr>
      <w:t>Data elementer</w:t>
    </w:r>
  </w:p>
  <w:p>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0771A"/>
    <w:multiLevelType w:val="multilevel"/>
    <w:tmpl w:val="5DA299D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Pr>
      <w:rFonts w:ascii="Arial" w:hAnsi="Arial" w:cs="Arial"/>
      <w:b/>
      <w:sz w:val="30"/>
    </w:rPr>
  </w:style>
  <w:style w:type="paragraph" w:customStyle="1" w:styleId="Overskrift211pkt">
    <w:name w:val="Overskrift 2 + 11 pkt"/>
    <w:basedOn w:val="Normal"/>
    <w:link w:val="Overskrift211pktTegn"/>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Pr>
      <w:rFonts w:ascii="Arial" w:hAnsi="Arial" w:cs="Arial"/>
      <w:b/>
    </w:rPr>
  </w:style>
  <w:style w:type="paragraph" w:customStyle="1" w:styleId="Normal11">
    <w:name w:val="Normal + 11"/>
    <w:basedOn w:val="Normal"/>
    <w:link w:val="Normal11Tegn"/>
    <w:pPr>
      <w:spacing w:line="240" w:lineRule="auto"/>
    </w:pPr>
    <w:rPr>
      <w:rFonts w:ascii="Times New Roman" w:hAnsi="Times New Roman" w:cs="Times New Roman"/>
    </w:rPr>
  </w:style>
  <w:style w:type="character" w:customStyle="1" w:styleId="Normal11Tegn">
    <w:name w:val="Normal + 11 Tegn"/>
    <w:basedOn w:val="Standardskrifttypeiafsnit"/>
    <w:link w:val="Normal11"/>
    <w:rPr>
      <w:rFonts w:ascii="Times New Roman" w:hAnsi="Times New Roman" w:cs="Times New Roman"/>
    </w:rPr>
  </w:style>
  <w:style w:type="paragraph" w:styleId="Sidehoved">
    <w:name w:val="header"/>
    <w:basedOn w:val="Normal"/>
    <w:link w:val="SidehovedTegn"/>
    <w:uiPriority w:val="99"/>
    <w:semiHidden/>
    <w:unhideWhenUsed/>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style>
  <w:style w:type="paragraph" w:styleId="Sidefod">
    <w:name w:val="footer"/>
    <w:basedOn w:val="Normal"/>
    <w:link w:val="SidefodTegn"/>
    <w:uiPriority w:val="99"/>
    <w:semiHidden/>
    <w:unhideWhenUsed/>
    <w:pPr>
      <w:tabs>
        <w:tab w:val="center" w:pos="4819"/>
        <w:tab w:val="right" w:pos="9638"/>
      </w:tabs>
      <w:spacing w:line="240" w:lineRule="auto"/>
    </w:pPr>
  </w:style>
  <w:style w:type="character" w:customStyle="1" w:styleId="SidefodTegn">
    <w:name w:val="Sidefod Tegn"/>
    <w:basedOn w:val="Standardskrifttypeiafsnit"/>
    <w:link w:val="Sidefod"/>
    <w:uiPriority w:val="99"/>
    <w:semiHidden/>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7016</Words>
  <Characters>42803</Characters>
  <Application>Microsoft Office Word</Application>
  <DocSecurity>0</DocSecurity>
  <Lines>356</Lines>
  <Paragraphs>99</Paragraphs>
  <ScaleCrop>false</ScaleCrop>
  <Company>SKAT</Company>
  <LinksUpToDate>false</LinksUpToDate>
  <CharactersWithSpaces>49720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CTXMIS037$</dc:creator>
  <cp:keywords/>
  <dc:description/>
  <cp:lastModifiedBy>CTXMIS037$</cp:lastModifiedBy>
  <cp:revision>1</cp:revision>
  <dcterms:created xsi:type="dcterms:W3CDTF">2013-02-08T09:42:00Z</dcterms:created>
  <dcterms:modified xsi:type="dcterms:W3CDTF">2013-02-08T09:43:00Z</dcterms:modified>
</cp:coreProperties>
</file>