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22-03-2007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IE818InputStruktur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IE818.</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IE818InputStruktur</w:t>
            </w:r>
            <w:bookmarkStart w:name="IE818Inpu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KvitteringStruktur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En generisk kvitteringsrapportstruktur, som benyttes som global struktur i kvitteringsrelaterede services.</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KvitteringStruktur</w:t>
            </w:r>
            <w:bookmarkStart w:name="Kvitte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(KvitteringValideretDato)</w:t>
              <w:br/>
              <w:t>LedsageDokumentARCNummer</w:t>
              <w:br/>
              <w:t>LedsageDokumentSekvensNummer</w:t>
              <w:br/>
              <w:t>(</w:t>
              <w:br/>
              <w:t/>
              <w:tab/>
              <w:t>*DestinationToldSted*</w:t>
              <w:br/>
              <w:t/>
              <w:tab/>
              <w:t>[</w:t>
              <w:br/>
              <w:t/>
              <w:tab/>
              <w:t/>
              <w:tab/>
              <w:t>ToldstedReferenceNummer</w:t>
              <w:br/>
              <w:t/>
              <w:tab/>
              <w:t>]</w:t>
              <w:br/>
              <w:t>)</w:t>
              <w:br/>
              <w:t>(</w:t>
              <w:br/>
              <w:t/>
              <w:tab/>
              <w:t>*Modtager*</w:t>
              <w:br/>
              <w:t/>
              <w:tab/>
              <w:t>[</w:t>
              <w:br/>
              <w:t/>
              <w:tab/>
              <w:t/>
              <w:tab/>
              <w:t>ØkonomiskOperatørIDStruktur</w:t>
              <w:br/>
              <w:t/>
              <w:tab/>
              <w:t/>
              <w:tab/>
              <w:t>EUOperatørNavn</w:t>
              <w:br/>
              <w:t/>
              <w:tab/>
              <w:t/>
              <w:tab/>
              <w:t>AdresseEUStruktur</w:t>
              <w:br/>
              <w:t/>
              <w:tab/>
              <w:t/>
              <w:tab/>
              <w:t>ØkonomiskOperatørEORINummer</w:t>
              <w:br/>
              <w:t/>
              <w:tab/>
              <w:t/>
              <w:tab/>
              <w:t>SprogKode</w:t>
              <w:br/>
              <w:t/>
              <w:tab/>
              <w:t>]</w:t>
              <w:br/>
              <w:t>)</w:t>
              <w:br/>
              <w:t>(</w:t>
              <w:br/>
              <w:t/>
              <w:tab/>
              <w:t>*VareModtager*</w:t>
              <w:br/>
              <w:t/>
              <w:tab/>
              <w:t>[</w:t>
              <w:br/>
              <w:t/>
              <w:tab/>
              <w:t/>
              <w:tab/>
              <w:t>ØkonomiskOperatørIDStruktur</w:t>
              <w:br/>
              <w:t/>
              <w:tab/>
              <w:t/>
              <w:tab/>
              <w:t>EUOperatørNavn</w:t>
              <w:br/>
              <w:t/>
              <w:tab/>
              <w:t/>
              <w:tab/>
              <w:t>(AdresseEUStruktur)</w:t>
              <w:br/>
              <w:t/>
              <w:tab/>
              <w:t/>
              <w:tab/>
              <w:t>(SprogKode)</w:t>
              <w:br/>
              <w:t/>
              <w:tab/>
              <w:t>]</w:t>
              <w:br/>
              <w:t>)</w:t>
              <w:br/>
              <w:t>*Kvittering*</w:t>
              <w:br/>
              <w:t>[</w:t>
              <w:br/>
              <w:t/>
              <w:tab/>
              <w:t>KvitteringAnkomstDato</w:t>
              <w:br/>
              <w:t/>
              <w:tab/>
              <w:t>KvitteringStatusKode</w:t>
              <w:br/>
              <w:t/>
              <w:tab/>
              <w:t>(KvitteringSupplerendeOplysning</w:t>
              <w:br/>
              <w:t/>
              <w:tab/>
              <w:t>SprogKode)</w:t>
              <w:br/>
              <w:t>]</w:t>
              <w:br/>
              <w:t>*KvitteringVarePostSamling*</w:t>
              <w:br/>
              <w:t>0{</w:t>
              <w:br/>
              <w:t/>
              <w:tab/>
              <w:t>*VarePostAfvigelse*</w:t>
              <w:br/>
              <w:t/>
              <w:tab/>
              <w:t>[</w:t>
              <w:br/>
              <w:t/>
              <w:tab/>
              <w:t/>
              <w:tab/>
              <w:t>EMCSVarePostLøbeNummer</w:t>
              <w:br/>
              <w:t/>
              <w:tab/>
              <w:t/>
              <w:tab/>
              <w:t>(VarePostAfvigelsePositivNegativMarkering)</w:t>
              <w:br/>
              <w:t/>
              <w:tab/>
              <w:t/>
              <w:tab/>
              <w:t>VarePostAfvigelseStørrelse</w:t>
              <w:br/>
              <w:t/>
              <w:tab/>
              <w:t/>
              <w:tab/>
              <w:t>AfgiftProduktKode</w:t>
              <w:br/>
              <w:t/>
              <w:tab/>
              <w:t/>
              <w:tab/>
              <w:t>(VarePostAfvigelseAfvistMængde)</w:t>
              <w:br/>
              <w:t/>
              <w:tab/>
              <w:t/>
              <w:tab/>
              <w:t>*AfvisBegrundelseKvitteringVarePostSamling*</w:t>
              <w:br/>
              <w:t/>
              <w:tab/>
              <w:t/>
              <w:tab/>
              <w:t>0{</w:t>
              <w:br/>
              <w:t/>
              <w:tab/>
              <w:t/>
              <w:tab/>
              <w:t/>
              <w:tab/>
              <w:t>*AfvisBegrundelseVarePost*</w:t>
              <w:br/>
              <w:t/>
              <w:tab/>
              <w:t/>
              <w:tab/>
              <w:t/>
              <w:tab/>
              <w:t>[</w:t>
              <w:br/>
              <w:t/>
              <w:tab/>
              <w:t/>
              <w:tab/>
              <w:t/>
              <w:tab/>
              <w:t/>
              <w:tab/>
              <w:t>AfvisBegrundelseKode</w:t>
              <w:br/>
              <w:t/>
              <w:tab/>
              <w:t/>
              <w:tab/>
              <w:t/>
              <w:tab/>
              <w:t/>
              <w:tab/>
              <w:t>(AfvisBegrundelseSupplerendeOplysning)</w:t>
              <w:br/>
              <w:t/>
              <w:tab/>
              <w:t/>
              <w:tab/>
              <w:t/>
              <w:tab/>
              <w:t/>
              <w:tab/>
              <w:t>(SprogKode)</w:t>
              <w:br/>
              <w:t/>
              <w:tab/>
              <w:t/>
              <w:tab/>
              <w:t/>
              <w:tab/>
              <w:t>]</w:t>
              <w:br/>
              <w:t/>
              <w:tab/>
              <w:t/>
              <w:tab/>
              <w:t>}9</w:t>
              <w:br/>
              <w:t/>
              <w:tab/>
              <w:t>]</w:t>
              <w:br/>
              <w:t>}999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IE818</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AfvisBegrundelseKode</w:t>
            </w:r>
            <w:bookmarkStart w:name="AfvisBegru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AfvisBegrundelseSupplerendeOplysning</w:t>
            </w:r>
            <w:bookmarkStart w:name="AfvisBegru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Selve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KvitteringAnkomstDato</w:t>
            </w:r>
            <w:bookmarkStart w:name="KvitteringAnkoms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Angivelse af leverancens ankomstdato. Datoen udfyldelses af modtageren i forbindelse med oprettelsen af en kvittering.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KvitteringStatusKode</w:t>
            </w:r>
            <w:bookmarkStart w:name="Kvittering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br/>
              <w:t>enumeration: 1, 2, 3, 11, 21, 22, 23, 31, 32, 33</w:t>
            </w:r>
          </w:p>
        </w:tc>
        <w:tc>
          <w:tcPr>
            <w:tcW w:type="dxa" w:w="4391"/>
            <w:tcMar>
              <w:top w:type="dxa" w:w="57"/>
              <w:bottom w:type="dxa" w:w="57"/>
            </w:tcMar>
          </w:tcPr>
          <w:p>
            <w:pPr>
              <w:rPr>
                <w:rFonts w:ascii="Arial" w:cs="Arial" w:hAnsi="Arial"/>
                <w:sz w:val="18"/>
              </w:rPr>
            </w:pPr>
            <w:r>
              <w:rPr>
                <w:rFonts w:ascii="Arial" w:cs="Arial" w:hAnsi="Arial"/>
                <w:sz w:val="18"/>
              </w:rPr>
              <w:t/>
              <w:t>En kode som unikt identificerer en given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KvitteringSupplerendeOplysning</w:t>
            </w:r>
            <w:bookmarkStart w:name="Kvitter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KvitteringValideretDato</w:t>
            </w:r>
            <w:bookmarkStart w:name="Kvittering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for validering af kvitteringen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VarePostAfvigelseAfvistMængde</w:t>
            </w:r>
            <w:bookmarkStart w:name="VarePostAfvigelseAfvi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Hvis kun delvist afvist af modtager, indikerer dette element mængden af afviste vareposter.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