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StatusBeskedSvarModtag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09-09-2010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10-07-2017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Modtager IE905 beskeder fra EU.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StatusBeskedSvarModtag_I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IE905Struktur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StatusBeskedSvarModtag_O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TekniskKvittering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IE905Struktur</w:t>
            </w:r>
            <w:bookmarkStart w:name="IE905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StatusBeskedStruktur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IE905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StatusBeskedStruktur</w:t>
            </w:r>
            <w:bookmarkStart w:name="StatusBesked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  <w:br/>
              <w:t>Status</w:t>
              <w:br/>
              <w:t>SenesteBeskedType</w:t>
              <w:br/>
              <w:t>LedsageDokumentSekvensNummer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Delmængde af IE904 og IE905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</w:r>
            <w:bookmarkStart w:name="LedsageDokumentARC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  <w:br/>
              <w:t>pattern: [0-9][0-9][A-Z][A-Z][A-Z0-9]{16}[0-9]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entydig kode som identificerer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LedsageDokumentSekvensNummer</w:t>
            </w:r>
            <w:bookmarkStart w:name="LedsageDokumentSekven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sekvensielt databasegenereret nummer, som altid incrementerer med 1.</w:t>
              <w:br/>
              <w:t>Har ingen forretningsmæssig betydning.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SenesteBeskedType</w:t>
            </w:r>
            <w:bookmarkStart w:name="SenesteBesked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"Last Send/Received Message Type" feltet i EUs dokumentation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Status</w:t>
            </w:r>
            <w:bookmarkStart w:name="Status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"Status" i EUs dokumentationen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26-09-2019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StatusBeskedSvarModtag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