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LedsageDokumentOmdirigeretAdvisSamlingHent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29-10-2008</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10-07-2017</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LedsageDokumentOmdirigeretAdvisSamlingHent_I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LedsageDokumentOmdirigeretAdvisSamlingHent_O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*LedsageDokumentOmdirigeretAdvisSamling*</w:t>
              <w:br/>
              <w:t>0</w:t>
              <w:br/>
              <w:t>{</w:t>
              <w:br/>
              <w:t/>
              <w:tab/>
              <w:t>IE803Struktur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IE803Struktur</w:t>
            </w:r>
            <w:bookmarkStart w:name="IE803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*IE803*</w:t>
              <w:br/>
              <w:t>[</w:t>
              <w:br/>
              <w:t/>
              <w:tab/>
              <w:t>BeskedOplysningStruktur</w:t>
              <w:br/>
              <w:t/>
              <w:tab/>
              <w:t>LedsageDokumentOmdirigeretAdvisStruktur</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LedsageDokumentOmdirigeretAdvisStruktur</w:t>
            </w:r>
            <w:bookmarkStart w:name="LedsageDokumentOmdirigeretAdvis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*OmdirigeretAdvis*</w:t>
              <w:br/>
              <w:t>[</w:t>
              <w:br/>
              <w:t/>
              <w:tab/>
              <w:t>OmdirigeretAdvisType</w:t>
              <w:br/>
              <w:t/>
              <w:tab/>
              <w:t>OmdirigeretAdvisDatoTid</w:t>
              <w:br/>
              <w:t/>
              <w:tab/>
              <w:t>LedsageDokumentARCNummer</w:t>
              <w:br/>
              <w:t/>
              <w:tab/>
              <w:t>LedsageDokumentSekvensNummer</w:t>
              <w:br/>
              <w:t>]</w:t>
              <w:br/>
              <w:t>*DownstreamARC*</w:t>
              <w:br/>
              <w:t>[</w:t>
              <w:br/>
              <w:t/>
              <w:tab/>
              <w:t>LedsageDokumentARCNummer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IE803</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OmdirigeretAdvisDatoTid</w:t>
            </w:r>
            <w:bookmarkStart w:name="OmdirigeretAdvis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Et transient element som angiver dato/tid for en omdirigering.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OmdirigeretAdvisType</w:t>
            </w:r>
            <w:bookmarkStart w:name="OmdirigeretAdvis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Et transient element som benyttes til at beskrive hvilken omdirigering der er tale om.</w:t>
              <w:br/>
              <w:t>Da splitting først vil forekomme i FS2, kan advistypen på nuværende tidspunkt kun antage værdien "1".</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09-09-2019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LedsageDokumentOmdirigeretAdvisSamlingHent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