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EUMeddelelseEMCSSend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27-05-2010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11-04-2016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 sende beskeder til EU-medlemsstater gennem EU-gatewayen, CCN/CSI.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Forretningsservice som mappes til LXR.CCN service, CcnCsiAdapterSubmission.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 afsende beskeder til EU-medlemsstater gennem EU-gatewayen, CCN/CSI.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EUMeddelelseEMCSSend_I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EUMeddelelseSendInputStruktur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EUMeddelelseEMCSSend_O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EUMeddelelseSendOutputStruktur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EUMeddelelseSendInputStruktur</w:t>
            </w:r>
            <w:bookmarkStart w:name="EUMeddelelseSend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*EUMeddelelse*</w:t>
              <w:br/>
              <w:t>[</w:t>
              <w:br/>
              <w:t/>
              <w:tab/>
              <w:t>*Modtagerland*</w:t>
              <w:br/>
              <w:t/>
              <w:tab/>
              <w:t>[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(EUMeddelelseID)</w:t>
              <w:br/>
              <w:t/>
              <w:tab/>
              <w:t>(EUMeddelelseIDBinær)</w:t>
              <w:br/>
              <w:t/>
              <w:tab/>
              <w:t>(EUMeddelelseIDHex)</w:t>
              <w:br/>
              <w:t/>
              <w:tab/>
              <w:t>(</w:t>
              <w:br/>
              <w:t/>
              <w:tab/>
              <w:t/>
              <w:tab/>
              <w:t>*MeddelelseRelation*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(EUMeddelelseID)</w:t>
              <w:br/>
              <w:t/>
              <w:tab/>
              <w:t/>
              <w:tab/>
              <w:t/>
              <w:tab/>
              <w:t>(EUMeddelelseIDBinær)</w:t>
              <w:br/>
              <w:t/>
              <w:tab/>
              <w:t/>
              <w:tab/>
              <w:t/>
              <w:tab/>
              <w:t>(EUMeddelelseIDHex)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EUMeddelelseType</w:t>
              <w:br/>
              <w:t/>
              <w:tab/>
              <w:t>(EUMeddelelseUdvekslingstype)</w:t>
              <w:br/>
              <w:t/>
              <w:tab/>
              <w:t>EUMeddelelseIndhold</w:t>
              <w:br/>
              <w:t/>
              <w:tab/>
              <w:t>(EUMeddelelsePrioritet)</w:t>
              <w:br/>
              <w:t/>
              <w:tab/>
              <w:t>(EUMeddelelseIntegritetMarkering)</w:t>
              <w:br/>
              <w:t/>
              <w:tab/>
              <w:t>(EUMeddelelseFortroligtMarkering)</w:t>
              <w:br/>
              <w:t/>
              <w:tab/>
              <w:t>(EUMeddelelseKomprimeretMarkering)</w:t>
              <w:br/>
              <w:t/>
              <w:tab/>
              <w:t>(EUMeddelelseKomprimeretAlgoritme)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EUMeddelelseSendOutputStruktur</w:t>
            </w:r>
            <w:bookmarkStart w:name="EUMeddelelseSendOut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*EUMeddelseIse*</w:t>
              <w:br/>
              <w:t>[</w:t>
              <w:br/>
              <w:t/>
              <w:tab/>
              <w:t>(EUMeddelelseID)</w:t>
              <w:br/>
              <w:t/>
              <w:tab/>
              <w:t>(</w:t>
              <w:br/>
              <w:t/>
              <w:tab/>
              <w:t/>
              <w:tab/>
              <w:t>*Relation*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(EUMeddelelseID)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EUMeddelelseType</w:t>
              <w:br/>
              <w:t/>
              <w:tab/>
              <w:t>EUMeddeleIseSystem</w:t>
              <w:br/>
              <w:t/>
              <w:tab/>
              <w:t>(EUMeddelelseUdvekslingstype)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EUMeddeleIseSystem</w:t>
            </w:r>
            <w:bookmarkStart w:name="EUMeddeleIseSyste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hvilket system der skal udveksle EU-meddelelsen. Her anvendes EUs navngivning, fx EMCS, VATRefund (Momsrefusion), mv.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EUMeddelelseFortroligtMarkering</w:t>
            </w:r>
            <w:bookmarkStart w:name="EUMeddelelseFortrolig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markerer, hvorvidt EU-meddelelsen er fortrolig.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</w:t>
            </w:r>
            <w:bookmarkStart w:name="EUMeddelels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en EU-meddelelse. Afsender af meddelelsen er ansvarlig for at sikre at indentifikationen er unik. De første to karakterer i EUMeddelelseID skal altid være landekode.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EUMeddelelseIDBinær</w:t>
            </w:r>
            <w:bookmarkStart w:name="EUMeddelelseIDBin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EUMeddelelseIDHex</w:t>
            </w:r>
            <w:bookmarkStart w:name="EUMeddelelseIDHex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alfanumerisk felt på 255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EUMeddelelseIndhold</w:t>
            </w:r>
            <w:bookmarkStart w:name="EUMeddelelse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Indholdet i en EU-meddelelse medsendes som XML indholdeldende header med indledende oplysninger, og en body med selve meddelelsens tekst eller indhold.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EUMeddelelseIntegritetMarkering</w:t>
            </w:r>
            <w:bookmarkStart w:name="EUMeddelelseIntegrit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markerer, hvorvidt EU-meddelelsen skal tjekkes.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EUMeddelelseKomprimeretAlgoritme</w:t>
            </w:r>
            <w:bookmarkStart w:name="EUMeddelelseKomprimeretAlgorit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NONE, LZW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typen af komprimeringsalgoritme, hvis EU-meddelelsen er komprimeret.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EUMeddelelseKomprimeretMarkering</w:t>
            </w:r>
            <w:bookmarkStart w:name="EUMeddelelseKomprimer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markerer, hvorvidt EU-meddelelsen er komprimeret.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EUMeddelelsePrioritet</w:t>
            </w:r>
            <w:bookmarkStart w:name="EUMeddelelsePriorit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en prioritet af en EU-meddelelse i dens destinationskø. En destinationskø er den kø en EU-meddelelse venter i indtil den bliver hentet af modtagerland.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EUMeddelelseType</w:t>
            </w:r>
            <w:bookmarkStart w:name="EUMeddelels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typen på en EU-meddelelse, som defineret af CCN.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EUMeddelelseUdvekslingstype</w:t>
            </w:r>
            <w:bookmarkStart w:name="EUMeddelelseUdvekslings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DATAGRAM, REQUEST, REPLY, REPORT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</w:t>
              <w:br/>
              <w:t>[MANGLER - skal defineres når konkret testdata foreligger]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EUMeddelelseEMCSSend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